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19" w:rsidRPr="00D1497C" w:rsidRDefault="00D1497C">
      <w:pPr>
        <w:tabs>
          <w:tab w:val="left" w:pos="10905"/>
        </w:tabs>
        <w:spacing w:before="165"/>
        <w:ind w:left="105"/>
        <w:rPr>
          <w:rFonts w:ascii="Garamond"/>
          <w:sz w:val="60"/>
          <w:lang w:eastAsia="zh-CN"/>
        </w:rPr>
      </w:pPr>
      <w:r>
        <w:rPr>
          <w:rFonts w:ascii="Garamond" w:hAnsi="Garamond"/>
          <w:color w:val="FFFFFF"/>
          <w:sz w:val="60"/>
          <w:shd w:val="clear" w:color="auto" w:fill="CC9900"/>
          <w:lang w:eastAsia="zh-CN"/>
        </w:rPr>
        <w:t xml:space="preserve">  </w:t>
      </w:r>
      <w:r w:rsidR="002C4E66">
        <w:rPr>
          <w:rFonts w:ascii="Garamond" w:eastAsiaTheme="minorEastAsia" w:hAnsi="Garamond" w:hint="eastAsia"/>
          <w:color w:val="FFFFFF"/>
          <w:sz w:val="60"/>
          <w:shd w:val="clear" w:color="auto" w:fill="CC9900"/>
          <w:lang w:eastAsia="zh-CN"/>
        </w:rPr>
        <w:t xml:space="preserve">   </w:t>
      </w:r>
      <w:r>
        <w:rPr>
          <w:rFonts w:ascii="Garamond" w:hAnsi="Garamond"/>
          <w:color w:val="FFFFFF"/>
          <w:sz w:val="60"/>
          <w:shd w:val="clear" w:color="auto" w:fill="CC9900"/>
          <w:lang w:eastAsia="zh-CN"/>
        </w:rPr>
        <w:t>冬季消防安全和便携式加热器使用</w:t>
      </w:r>
      <w:r>
        <w:rPr>
          <w:rFonts w:ascii="Garamond" w:hAnsi="Garamond"/>
          <w:color w:val="FFFFFF"/>
          <w:sz w:val="60"/>
          <w:shd w:val="clear" w:color="auto" w:fill="CC9900"/>
          <w:lang w:eastAsia="zh-CN"/>
        </w:rPr>
        <w:tab/>
      </w:r>
    </w:p>
    <w:p w:rsidR="00DE5919" w:rsidRPr="00D1497C" w:rsidRDefault="00DE5919">
      <w:pPr>
        <w:pStyle w:val="a3"/>
        <w:ind w:left="0" w:firstLine="0"/>
        <w:rPr>
          <w:rFonts w:ascii="Garamond"/>
          <w:sz w:val="20"/>
          <w:lang w:eastAsia="zh-CN"/>
        </w:rPr>
      </w:pPr>
    </w:p>
    <w:p w:rsidR="00DE5919" w:rsidRPr="00D1497C" w:rsidRDefault="00D1497C">
      <w:pPr>
        <w:pStyle w:val="1"/>
        <w:spacing w:before="225"/>
        <w:ind w:left="2631"/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588009</wp:posOffset>
            </wp:positionH>
            <wp:positionV relativeFrom="paragraph">
              <wp:posOffset>132992</wp:posOffset>
            </wp:positionV>
            <wp:extent cx="1412240" cy="179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禁止使用煤油加热器</w:t>
      </w:r>
    </w:p>
    <w:p w:rsidR="00DE5919" w:rsidRPr="00D1497C" w:rsidRDefault="00D1497C">
      <w:pPr>
        <w:pStyle w:val="a4"/>
        <w:numPr>
          <w:ilvl w:val="0"/>
          <w:numId w:val="2"/>
        </w:numPr>
        <w:tabs>
          <w:tab w:val="left" w:pos="3352"/>
          <w:tab w:val="left" w:pos="3353"/>
        </w:tabs>
        <w:ind w:right="809"/>
        <w:rPr>
          <w:sz w:val="24"/>
          <w:lang w:eastAsia="zh-CN"/>
        </w:rPr>
      </w:pPr>
      <w:r>
        <w:rPr>
          <w:sz w:val="24"/>
          <w:lang w:eastAsia="zh-CN"/>
        </w:rPr>
        <w:t>特区消防法严禁在华盛顿特区的任何地方使用煤油加热器。</w:t>
      </w:r>
    </w:p>
    <w:p w:rsidR="00DE5919" w:rsidRPr="002C4E66" w:rsidRDefault="00D1497C" w:rsidP="002C4E66">
      <w:pPr>
        <w:pStyle w:val="a4"/>
        <w:numPr>
          <w:ilvl w:val="0"/>
          <w:numId w:val="2"/>
        </w:numPr>
        <w:tabs>
          <w:tab w:val="left" w:pos="3352"/>
          <w:tab w:val="left" w:pos="3353"/>
        </w:tabs>
        <w:ind w:right="809"/>
        <w:rPr>
          <w:sz w:val="24"/>
          <w:lang w:eastAsia="zh-CN"/>
        </w:rPr>
      </w:pPr>
      <w:r>
        <w:rPr>
          <w:sz w:val="24"/>
          <w:lang w:eastAsia="zh-CN"/>
        </w:rPr>
        <w:t xml:space="preserve">煤油加热器将由哥伦比亚特区消防及紧急医疗服务部没收。如果违反，将处以 </w:t>
      </w:r>
      <w:r w:rsidRPr="002C4E66">
        <w:rPr>
          <w:sz w:val="24"/>
          <w:lang w:eastAsia="zh-CN"/>
        </w:rPr>
        <w:t>300.00 美元罚金。</w:t>
      </w:r>
    </w:p>
    <w:p w:rsidR="00DE5919" w:rsidRPr="00D1497C" w:rsidRDefault="00D1497C">
      <w:pPr>
        <w:pStyle w:val="a4"/>
        <w:numPr>
          <w:ilvl w:val="0"/>
          <w:numId w:val="2"/>
        </w:numPr>
        <w:tabs>
          <w:tab w:val="left" w:pos="3352"/>
          <w:tab w:val="left" w:pos="3353"/>
        </w:tabs>
        <w:ind w:right="611"/>
        <w:rPr>
          <w:sz w:val="24"/>
          <w:lang w:eastAsia="zh-CN"/>
        </w:rPr>
      </w:pPr>
      <w:r>
        <w:rPr>
          <w:sz w:val="24"/>
          <w:lang w:eastAsia="zh-CN"/>
        </w:rPr>
        <w:t>在任何区域使用煤油加热器会大幅增加发生火灾的风险。</w:t>
      </w:r>
    </w:p>
    <w:p w:rsidR="00DE5919" w:rsidRPr="00D1497C" w:rsidRDefault="00DE5919">
      <w:pPr>
        <w:pStyle w:val="a3"/>
        <w:ind w:left="0" w:firstLine="0"/>
        <w:rPr>
          <w:sz w:val="20"/>
          <w:lang w:eastAsia="zh-CN"/>
        </w:rPr>
      </w:pPr>
    </w:p>
    <w:p w:rsidR="00DE5919" w:rsidRPr="00D1497C" w:rsidRDefault="00DE5919">
      <w:pPr>
        <w:pStyle w:val="a3"/>
        <w:ind w:left="0" w:firstLine="0"/>
        <w:rPr>
          <w:sz w:val="20"/>
          <w:lang w:eastAsia="zh-CN"/>
        </w:rPr>
      </w:pPr>
    </w:p>
    <w:p w:rsidR="00DE5919" w:rsidRPr="00D1497C" w:rsidRDefault="00DE5919">
      <w:pPr>
        <w:pStyle w:val="a3"/>
        <w:ind w:left="0" w:firstLine="0"/>
        <w:rPr>
          <w:sz w:val="20"/>
          <w:lang w:eastAsia="zh-CN"/>
        </w:rPr>
      </w:pPr>
    </w:p>
    <w:p w:rsidR="002C4E66" w:rsidRDefault="008549E6">
      <w:pPr>
        <w:pStyle w:val="a3"/>
        <w:ind w:left="0" w:firstLine="0"/>
        <w:rPr>
          <w:rFonts w:eastAsiaTheme="minorEastAsia"/>
          <w:lang w:eastAsia="zh-CN"/>
        </w:rPr>
      </w:pPr>
      <w:r>
        <w:rPr>
          <w:noProof/>
          <w:lang w:val="en-GB" w:eastAsia="zh-CN"/>
        </w:rPr>
        <w:drawing>
          <wp:anchor distT="0" distB="0" distL="0" distR="0" simplePos="0" relativeHeight="536" behindDoc="1" locked="0" layoutInCell="1" allowOverlap="1" wp14:anchorId="65AB07F7" wp14:editId="6D5D7CA6">
            <wp:simplePos x="0" y="0"/>
            <wp:positionH relativeFrom="page">
              <wp:posOffset>5770634</wp:posOffset>
            </wp:positionH>
            <wp:positionV relativeFrom="paragraph">
              <wp:posOffset>43815</wp:posOffset>
            </wp:positionV>
            <wp:extent cx="1485900" cy="190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E66" w:rsidRDefault="002C4E66">
      <w:pPr>
        <w:pStyle w:val="a3"/>
        <w:ind w:left="0" w:firstLine="0"/>
        <w:rPr>
          <w:rFonts w:eastAsia="宋体"/>
          <w:lang w:eastAsia="zh-CN"/>
        </w:rPr>
      </w:pPr>
    </w:p>
    <w:p w:rsidR="008549E6" w:rsidRDefault="008549E6">
      <w:pPr>
        <w:pStyle w:val="a3"/>
        <w:ind w:left="0" w:firstLine="0"/>
        <w:rPr>
          <w:rFonts w:eastAsia="宋体"/>
          <w:lang w:eastAsia="zh-CN"/>
        </w:rPr>
      </w:pPr>
    </w:p>
    <w:p w:rsidR="008549E6" w:rsidRPr="00541446" w:rsidRDefault="008549E6" w:rsidP="008549E6">
      <w:pPr>
        <w:spacing w:before="230" w:line="321" w:lineRule="exact"/>
        <w:ind w:right="2835"/>
        <w:jc w:val="right"/>
        <w:rPr>
          <w:sz w:val="28"/>
          <w:lang w:val="es-ES" w:eastAsia="zh-CN"/>
        </w:rPr>
      </w:pPr>
      <w:r>
        <w:rPr>
          <w:sz w:val="28"/>
          <w:lang w:eastAsia="zh-CN"/>
        </w:rPr>
        <w:t>批准的便携式加热器</w:t>
      </w:r>
    </w:p>
    <w:p w:rsidR="008549E6" w:rsidRPr="00541446" w:rsidRDefault="008549E6" w:rsidP="00B11DA9">
      <w:pPr>
        <w:pStyle w:val="a3"/>
        <w:tabs>
          <w:tab w:val="right" w:pos="2002"/>
        </w:tabs>
        <w:spacing w:line="275" w:lineRule="exact"/>
        <w:ind w:left="0" w:right="2835" w:firstLine="0"/>
        <w:jc w:val="right"/>
        <w:rPr>
          <w:lang w:val="es-ES" w:eastAsia="zh-CN"/>
        </w:rPr>
      </w:pPr>
      <w:r w:rsidRPr="00541446">
        <w:rPr>
          <w:lang w:val="es-ES" w:eastAsia="zh-CN"/>
        </w:rPr>
        <w:t>-</w:t>
      </w:r>
      <w:r w:rsidRPr="00541446">
        <w:rPr>
          <w:lang w:val="es-ES" w:eastAsia="zh-CN"/>
        </w:rPr>
        <w:tab/>
      </w:r>
      <w:bookmarkStart w:id="0" w:name="_GoBack"/>
      <w:bookmarkEnd w:id="0"/>
      <w:r>
        <w:rPr>
          <w:lang w:eastAsia="zh-CN"/>
        </w:rPr>
        <w:t>电动空间加热器</w:t>
      </w:r>
    </w:p>
    <w:p w:rsidR="008549E6" w:rsidRPr="0031488C" w:rsidRDefault="008549E6" w:rsidP="008549E6">
      <w:pPr>
        <w:pStyle w:val="a4"/>
        <w:numPr>
          <w:ilvl w:val="0"/>
          <w:numId w:val="1"/>
        </w:numPr>
        <w:tabs>
          <w:tab w:val="left" w:pos="538"/>
          <w:tab w:val="left" w:pos="539"/>
        </w:tabs>
        <w:ind w:left="0" w:right="2835"/>
        <w:jc w:val="right"/>
        <w:rPr>
          <w:sz w:val="24"/>
          <w:lang w:val="es-ES"/>
        </w:rPr>
      </w:pPr>
      <w:r>
        <w:rPr>
          <w:sz w:val="24"/>
          <w:lang w:eastAsia="zh-CN"/>
        </w:rPr>
        <w:t>电动油/水暖气</w:t>
      </w:r>
    </w:p>
    <w:p w:rsidR="008549E6" w:rsidRDefault="008549E6" w:rsidP="008549E6">
      <w:pPr>
        <w:pStyle w:val="a4"/>
        <w:numPr>
          <w:ilvl w:val="0"/>
          <w:numId w:val="1"/>
        </w:numPr>
        <w:tabs>
          <w:tab w:val="left" w:pos="538"/>
          <w:tab w:val="left" w:pos="539"/>
        </w:tabs>
        <w:ind w:left="0" w:right="2835"/>
        <w:jc w:val="right"/>
        <w:rPr>
          <w:rFonts w:eastAsia="宋体"/>
          <w:lang w:eastAsia="zh-CN"/>
        </w:rPr>
      </w:pPr>
      <w:r>
        <w:rPr>
          <w:sz w:val="24"/>
          <w:lang w:eastAsia="zh-CN"/>
        </w:rPr>
        <w:t>电动板式加热器</w:t>
      </w:r>
    </w:p>
    <w:p w:rsidR="002C4E66" w:rsidRDefault="002C4E66" w:rsidP="002C4E66">
      <w:pPr>
        <w:pStyle w:val="1"/>
        <w:spacing w:line="240" w:lineRule="auto"/>
        <w:rPr>
          <w:rFonts w:eastAsiaTheme="minorEastAsia"/>
          <w:lang w:eastAsia="zh-CN"/>
        </w:rPr>
      </w:pPr>
    </w:p>
    <w:p w:rsidR="002C4E66" w:rsidRPr="00D1497C" w:rsidRDefault="002C4E66" w:rsidP="002C4E66">
      <w:pPr>
        <w:pStyle w:val="1"/>
        <w:spacing w:line="240" w:lineRule="auto"/>
        <w:rPr>
          <w:lang w:eastAsia="zh-CN"/>
        </w:rPr>
      </w:pPr>
      <w:r>
        <w:rPr>
          <w:lang w:eastAsia="zh-CN"/>
        </w:rPr>
        <w:t>便携式加热器安全提示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spacing w:before="1"/>
        <w:rPr>
          <w:sz w:val="24"/>
          <w:lang w:eastAsia="zh-CN"/>
        </w:rPr>
      </w:pPr>
      <w:r>
        <w:rPr>
          <w:noProof/>
          <w:lang w:val="en-GB" w:eastAsia="zh-CN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6849109</wp:posOffset>
            </wp:positionH>
            <wp:positionV relativeFrom="page">
              <wp:posOffset>200660</wp:posOffset>
            </wp:positionV>
            <wp:extent cx="570865" cy="708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eastAsia="zh-CN"/>
        </w:rPr>
        <w:t>使用任何便携式加热器前，认真阅读制造商说明书。</w:t>
      </w:r>
    </w:p>
    <w:p w:rsidR="00DE5919" w:rsidRPr="00D1497C" w:rsidRDefault="008B4418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eastAsia="zh-CN"/>
        </w:rPr>
      </w:pPr>
      <w:r>
        <w:rPr>
          <w:sz w:val="24"/>
          <w:lang w:eastAsia="zh-CN"/>
        </w:rPr>
        <w:t>不能无人照看</w:t>
      </w:r>
      <w:r w:rsidR="00D1497C">
        <w:rPr>
          <w:sz w:val="24"/>
          <w:lang w:eastAsia="zh-CN"/>
        </w:rPr>
        <w:t>正在使用的便携式加热器或不能让孩子独自待在其附近。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eastAsia="zh-CN"/>
        </w:rPr>
      </w:pPr>
      <w:r>
        <w:rPr>
          <w:sz w:val="24"/>
          <w:lang w:eastAsia="zh-CN"/>
        </w:rPr>
        <w:t>不得在浴室或水边使用电动便携式加热器。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eastAsia="zh-CN"/>
        </w:rPr>
      </w:pPr>
      <w:r>
        <w:rPr>
          <w:sz w:val="24"/>
          <w:lang w:eastAsia="zh-CN"/>
        </w:rPr>
        <w:t>在任何便携式加热器周围，至少留有 3 英尺的开放空间。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eastAsia="zh-CN"/>
        </w:rPr>
      </w:pPr>
      <w:r>
        <w:rPr>
          <w:sz w:val="24"/>
          <w:lang w:eastAsia="zh-CN"/>
        </w:rPr>
        <w:t>定期检查电线是否磨损和损坏。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eastAsia="zh-CN"/>
        </w:rPr>
      </w:pPr>
      <w:r>
        <w:rPr>
          <w:sz w:val="24"/>
          <w:lang w:eastAsia="zh-CN"/>
        </w:rPr>
        <w:t>不得将加热器电线布设在地毯下。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eastAsia="zh-CN"/>
        </w:rPr>
      </w:pPr>
      <w:r>
        <w:rPr>
          <w:sz w:val="24"/>
          <w:lang w:eastAsia="zh-CN"/>
        </w:rPr>
        <w:t>除绝对必要外，不得使用延伸电线。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eastAsia="zh-CN"/>
        </w:rPr>
      </w:pPr>
      <w:r>
        <w:rPr>
          <w:sz w:val="24"/>
          <w:lang w:eastAsia="zh-CN"/>
        </w:rPr>
        <w:t>如果必须使用延伸电线，务必遵守加热器制造商建议。</w:t>
      </w:r>
    </w:p>
    <w:p w:rsidR="00DE5919" w:rsidRPr="00D1497C" w:rsidRDefault="00DE5919">
      <w:pPr>
        <w:pStyle w:val="a3"/>
        <w:spacing w:before="9"/>
        <w:ind w:left="0" w:firstLine="0"/>
        <w:rPr>
          <w:sz w:val="23"/>
          <w:lang w:eastAsia="zh-CN"/>
        </w:rPr>
      </w:pPr>
    </w:p>
    <w:p w:rsidR="00DE5919" w:rsidRPr="00D1497C" w:rsidRDefault="00D1497C">
      <w:pPr>
        <w:pStyle w:val="1"/>
        <w:spacing w:line="240" w:lineRule="auto"/>
      </w:pPr>
      <w:r>
        <w:rPr>
          <w:lang w:eastAsia="zh-CN"/>
        </w:rPr>
        <w:t>冬季供暖安全提示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ind w:right="1426"/>
        <w:rPr>
          <w:sz w:val="24"/>
          <w:lang w:eastAsia="zh-CN"/>
        </w:rPr>
      </w:pPr>
      <w:r>
        <w:rPr>
          <w:sz w:val="24"/>
          <w:lang w:eastAsia="zh-CN"/>
        </w:rPr>
        <w:t>由专业人员一年检查一次火炉，如有必要，予以维修。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eastAsia="zh-CN"/>
        </w:rPr>
      </w:pPr>
      <w:r>
        <w:rPr>
          <w:sz w:val="24"/>
          <w:lang w:eastAsia="zh-CN"/>
        </w:rPr>
        <w:t>一年检查一次烟囱，如有必要，予以清扫。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spacing w:before="1"/>
        <w:rPr>
          <w:sz w:val="24"/>
          <w:lang w:eastAsia="zh-CN"/>
        </w:rPr>
      </w:pPr>
      <w:r>
        <w:rPr>
          <w:sz w:val="24"/>
          <w:lang w:eastAsia="zh-CN"/>
        </w:rPr>
        <w:t>正在燃烧的壁炉不能无人照看。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eastAsia="zh-CN"/>
        </w:rPr>
      </w:pPr>
      <w:r>
        <w:rPr>
          <w:sz w:val="24"/>
          <w:lang w:eastAsia="zh-CN"/>
        </w:rPr>
        <w:t>不得使用炉灶或灶台</w:t>
      </w:r>
      <w:r w:rsidR="008B4418">
        <w:rPr>
          <w:rFonts w:eastAsiaTheme="minorEastAsia" w:hint="eastAsia"/>
          <w:sz w:val="24"/>
          <w:lang w:eastAsia="zh-CN"/>
        </w:rPr>
        <w:t>在家中</w:t>
      </w:r>
      <w:r>
        <w:rPr>
          <w:sz w:val="24"/>
          <w:lang w:eastAsia="zh-CN"/>
        </w:rPr>
        <w:t>进行取暖。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ind w:right="559"/>
        <w:rPr>
          <w:sz w:val="24"/>
          <w:lang w:eastAsia="zh-CN"/>
        </w:rPr>
      </w:pPr>
      <w:r>
        <w:rPr>
          <w:sz w:val="24"/>
          <w:lang w:eastAsia="zh-CN"/>
        </w:rPr>
        <w:t xml:space="preserve">务必在住宅的每层楼安装正常工作的烟雾警报器，并牢记每 6 </w:t>
      </w:r>
      <w:proofErr w:type="gramStart"/>
      <w:r>
        <w:rPr>
          <w:sz w:val="24"/>
          <w:lang w:eastAsia="zh-CN"/>
        </w:rPr>
        <w:t>个</w:t>
      </w:r>
      <w:proofErr w:type="gramEnd"/>
      <w:r>
        <w:rPr>
          <w:sz w:val="24"/>
          <w:lang w:eastAsia="zh-CN"/>
        </w:rPr>
        <w:t>月更换一次电池。</w:t>
      </w:r>
    </w:p>
    <w:p w:rsidR="00DE5919" w:rsidRPr="00D1497C" w:rsidRDefault="00D1497C">
      <w:pPr>
        <w:pStyle w:val="a4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eastAsia="zh-CN"/>
        </w:rPr>
      </w:pPr>
      <w:r>
        <w:rPr>
          <w:sz w:val="24"/>
          <w:lang w:eastAsia="zh-CN"/>
        </w:rPr>
        <w:t>与家人制定和演练家庭消防撤离计划。</w:t>
      </w:r>
    </w:p>
    <w:p w:rsidR="00DE5919" w:rsidRPr="00D1497C" w:rsidRDefault="00DE5919">
      <w:pPr>
        <w:pStyle w:val="a3"/>
        <w:spacing w:before="1"/>
        <w:ind w:left="0" w:firstLine="0"/>
        <w:rPr>
          <w:lang w:eastAsia="zh-CN"/>
        </w:rPr>
      </w:pPr>
    </w:p>
    <w:p w:rsidR="00DE5919" w:rsidRPr="00D1497C" w:rsidRDefault="00D1497C">
      <w:pPr>
        <w:pStyle w:val="1"/>
        <w:rPr>
          <w:lang w:eastAsia="zh-CN"/>
        </w:rPr>
      </w:pPr>
      <w:r>
        <w:rPr>
          <w:lang w:eastAsia="zh-CN"/>
        </w:rPr>
        <w:t>有关更多信息，</w:t>
      </w:r>
    </w:p>
    <w:p w:rsidR="00DE5919" w:rsidRPr="00D1497C" w:rsidRDefault="00D1497C">
      <w:pPr>
        <w:pStyle w:val="a3"/>
        <w:spacing w:line="275" w:lineRule="exact"/>
        <w:ind w:left="178" w:firstLine="0"/>
        <w:rPr>
          <w:lang w:eastAsia="zh-CN"/>
        </w:rPr>
      </w:pPr>
      <w:r>
        <w:rPr>
          <w:lang w:eastAsia="zh-CN"/>
        </w:rPr>
        <w:t>请致电 202.727.1600，联系哥伦比亚特区消防及紧急医疗服务部消防与生命安全教育组</w:t>
      </w:r>
    </w:p>
    <w:p w:rsidR="00DE5919" w:rsidRPr="008B4418" w:rsidRDefault="00DE5919" w:rsidP="008B4418">
      <w:pPr>
        <w:pStyle w:val="a3"/>
        <w:ind w:left="0" w:firstLine="0"/>
        <w:rPr>
          <w:rFonts w:eastAsiaTheme="minorEastAsia"/>
          <w:lang w:eastAsia="zh-CN"/>
        </w:rPr>
      </w:pPr>
    </w:p>
    <w:sectPr w:rsidR="00DE5919" w:rsidRPr="008B4418" w:rsidSect="002C4E66">
      <w:headerReference w:type="default" r:id="rId11"/>
      <w:footerReference w:type="default" r:id="rId12"/>
      <w:pgSz w:w="12240" w:h="15840"/>
      <w:pgMar w:top="1300" w:right="440" w:bottom="1300" w:left="700" w:header="88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0F" w:rsidRDefault="0023180F">
      <w:r>
        <w:separator/>
      </w:r>
    </w:p>
  </w:endnote>
  <w:endnote w:type="continuationSeparator" w:id="0">
    <w:p w:rsidR="0023180F" w:rsidRDefault="0023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9" w:rsidRPr="00D1497C" w:rsidRDefault="0023180F">
    <w:pPr>
      <w:pStyle w:val="a3"/>
      <w:spacing w:line="14" w:lineRule="auto"/>
      <w:ind w:left="0" w:firstLine="0"/>
      <w:rPr>
        <w:sz w:val="20"/>
      </w:rPr>
    </w:pPr>
    <w:r>
      <w:rPr>
        <w:noProof/>
        <w:sz w:val="20"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94.8pt;margin-top:723.45pt;width:174.35pt;height:31.3pt;z-index:-251657216;mso-position-horizontal-relative:page;mso-position-vertical-relative:page" filled="f" stroked="f">
          <v:textbox inset="0,0,0,0">
            <w:txbxContent>
              <w:p w:rsidR="001B7F7A" w:rsidRPr="00D1497C" w:rsidRDefault="001B7F7A" w:rsidP="001B7F7A">
                <w:pPr>
                  <w:spacing w:before="11" w:line="320" w:lineRule="exact"/>
                  <w:ind w:left="262"/>
                  <w:jc w:val="right"/>
                  <w:rPr>
                    <w:b/>
                    <w:sz w:val="28"/>
                  </w:rPr>
                </w:pPr>
                <w:r>
                  <w:rPr>
                    <w:b/>
                    <w:bCs/>
                    <w:sz w:val="28"/>
                    <w:lang w:eastAsia="zh-CN"/>
                  </w:rPr>
                  <w:t>Gregory Dean</w:t>
                </w:r>
              </w:p>
              <w:p w:rsidR="001B7F7A" w:rsidRPr="00D1497C" w:rsidRDefault="001B7F7A" w:rsidP="001B7F7A">
                <w:pPr>
                  <w:spacing w:line="274" w:lineRule="exact"/>
                  <w:ind w:left="20"/>
                  <w:jc w:val="right"/>
                  <w:rPr>
                    <w:i/>
                    <w:sz w:val="24"/>
                  </w:rPr>
                </w:pPr>
                <w:r>
                  <w:rPr>
                    <w:i/>
                    <w:iCs/>
                    <w:sz w:val="24"/>
                    <w:lang w:eastAsia="zh-CN"/>
                  </w:rPr>
                  <w:t>消防及紧急医疗服务部负责人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0F" w:rsidRDefault="0023180F">
      <w:r>
        <w:separator/>
      </w:r>
    </w:p>
  </w:footnote>
  <w:footnote w:type="continuationSeparator" w:id="0">
    <w:p w:rsidR="0023180F" w:rsidRDefault="0023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9" w:rsidRPr="00D1497C" w:rsidRDefault="0023180F">
    <w:pPr>
      <w:pStyle w:val="a3"/>
      <w:spacing w:line="14" w:lineRule="auto"/>
      <w:ind w:left="0" w:firstLine="0"/>
      <w:rPr>
        <w:sz w:val="20"/>
      </w:rPr>
    </w:pPr>
    <w:r>
      <w:rPr>
        <w:noProof/>
        <w:sz w:val="20"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.2pt;margin-top:43pt;width:368.6pt;height:24pt;z-index:-251658240;mso-position-horizontal-relative:page;mso-position-vertical-relative:page" filled="f" stroked="f">
          <v:textbox inset="0,0,0,0">
            <w:txbxContent>
              <w:p w:rsidR="001B7F7A" w:rsidRPr="00D1497C" w:rsidRDefault="001B7F7A" w:rsidP="001B7F7A">
                <w:pPr>
                  <w:spacing w:line="468" w:lineRule="exact"/>
                  <w:ind w:left="20"/>
                  <w:rPr>
                    <w:rFonts w:ascii="Calibri"/>
                    <w:b/>
                    <w:sz w:val="44"/>
                    <w:lang w:eastAsia="zh-CN"/>
                  </w:rPr>
                </w:pPr>
                <w:r>
                  <w:rPr>
                    <w:rFonts w:ascii="Calibri" w:hAnsi="Calibri"/>
                    <w:b/>
                    <w:bCs/>
                    <w:sz w:val="44"/>
                    <w:lang w:eastAsia="zh-CN"/>
                  </w:rPr>
                  <w:t>哥伦比亚特区消防及紧急医疗服务部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10F4"/>
    <w:multiLevelType w:val="hybridMultilevel"/>
    <w:tmpl w:val="29365896"/>
    <w:lvl w:ilvl="0" w:tplc="078E34FA">
      <w:numFmt w:val="bullet"/>
      <w:lvlText w:val="-"/>
      <w:lvlJc w:val="left"/>
      <w:pPr>
        <w:ind w:left="335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BDEA2CC">
      <w:numFmt w:val="bullet"/>
      <w:lvlText w:val="•"/>
      <w:lvlJc w:val="left"/>
      <w:pPr>
        <w:ind w:left="4134" w:hanging="360"/>
      </w:pPr>
      <w:rPr>
        <w:rFonts w:hint="default"/>
      </w:rPr>
    </w:lvl>
    <w:lvl w:ilvl="2" w:tplc="EE282ADA">
      <w:numFmt w:val="bullet"/>
      <w:lvlText w:val="•"/>
      <w:lvlJc w:val="left"/>
      <w:pPr>
        <w:ind w:left="4908" w:hanging="360"/>
      </w:pPr>
      <w:rPr>
        <w:rFonts w:hint="default"/>
      </w:rPr>
    </w:lvl>
    <w:lvl w:ilvl="3" w:tplc="460CC0B8">
      <w:numFmt w:val="bullet"/>
      <w:lvlText w:val="•"/>
      <w:lvlJc w:val="left"/>
      <w:pPr>
        <w:ind w:left="5682" w:hanging="360"/>
      </w:pPr>
      <w:rPr>
        <w:rFonts w:hint="default"/>
      </w:rPr>
    </w:lvl>
    <w:lvl w:ilvl="4" w:tplc="EEFCE5FA">
      <w:numFmt w:val="bullet"/>
      <w:lvlText w:val="•"/>
      <w:lvlJc w:val="left"/>
      <w:pPr>
        <w:ind w:left="6456" w:hanging="360"/>
      </w:pPr>
      <w:rPr>
        <w:rFonts w:hint="default"/>
      </w:rPr>
    </w:lvl>
    <w:lvl w:ilvl="5" w:tplc="3BFC9E1A">
      <w:numFmt w:val="bullet"/>
      <w:lvlText w:val="•"/>
      <w:lvlJc w:val="left"/>
      <w:pPr>
        <w:ind w:left="7230" w:hanging="360"/>
      </w:pPr>
      <w:rPr>
        <w:rFonts w:hint="default"/>
      </w:rPr>
    </w:lvl>
    <w:lvl w:ilvl="6" w:tplc="B57CD3D6">
      <w:numFmt w:val="bullet"/>
      <w:lvlText w:val="•"/>
      <w:lvlJc w:val="left"/>
      <w:pPr>
        <w:ind w:left="8004" w:hanging="360"/>
      </w:pPr>
      <w:rPr>
        <w:rFonts w:hint="default"/>
      </w:rPr>
    </w:lvl>
    <w:lvl w:ilvl="7" w:tplc="385C8F38">
      <w:numFmt w:val="bullet"/>
      <w:lvlText w:val="•"/>
      <w:lvlJc w:val="left"/>
      <w:pPr>
        <w:ind w:left="8778" w:hanging="360"/>
      </w:pPr>
      <w:rPr>
        <w:rFonts w:hint="default"/>
      </w:rPr>
    </w:lvl>
    <w:lvl w:ilvl="8" w:tplc="D01A313E">
      <w:numFmt w:val="bullet"/>
      <w:lvlText w:val="•"/>
      <w:lvlJc w:val="left"/>
      <w:pPr>
        <w:ind w:left="9552" w:hanging="360"/>
      </w:pPr>
      <w:rPr>
        <w:rFonts w:hint="default"/>
      </w:rPr>
    </w:lvl>
  </w:abstractNum>
  <w:abstractNum w:abstractNumId="1">
    <w:nsid w:val="622F6C3D"/>
    <w:multiLevelType w:val="hybridMultilevel"/>
    <w:tmpl w:val="66E61538"/>
    <w:lvl w:ilvl="0" w:tplc="7A3CCA2C">
      <w:numFmt w:val="bullet"/>
      <w:lvlText w:val="-"/>
      <w:lvlJc w:val="left"/>
      <w:pPr>
        <w:ind w:left="538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99C477F8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F768F3BC">
      <w:numFmt w:val="bullet"/>
      <w:lvlText w:val="-"/>
      <w:lvlJc w:val="left"/>
      <w:pPr>
        <w:ind w:left="3352" w:hanging="360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3" w:tplc="3894FD08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A4F00BBA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57A4CA2A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412E0A24">
      <w:numFmt w:val="bullet"/>
      <w:lvlText w:val="•"/>
      <w:lvlJc w:val="left"/>
      <w:pPr>
        <w:ind w:left="5198" w:hanging="360"/>
      </w:pPr>
      <w:rPr>
        <w:rFonts w:hint="default"/>
      </w:rPr>
    </w:lvl>
    <w:lvl w:ilvl="7" w:tplc="494EA8EA">
      <w:numFmt w:val="bullet"/>
      <w:lvlText w:val="•"/>
      <w:lvlJc w:val="left"/>
      <w:pPr>
        <w:ind w:left="5596" w:hanging="360"/>
      </w:pPr>
      <w:rPr>
        <w:rFonts w:hint="default"/>
      </w:rPr>
    </w:lvl>
    <w:lvl w:ilvl="8" w:tplc="A44474C8">
      <w:numFmt w:val="bullet"/>
      <w:lvlText w:val="•"/>
      <w:lvlJc w:val="left"/>
      <w:pPr>
        <w:ind w:left="59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5919"/>
    <w:rsid w:val="001B7F7A"/>
    <w:rsid w:val="001D5CBB"/>
    <w:rsid w:val="00207017"/>
    <w:rsid w:val="0023180F"/>
    <w:rsid w:val="002C4E66"/>
    <w:rsid w:val="00454FDC"/>
    <w:rsid w:val="005163C3"/>
    <w:rsid w:val="005848AB"/>
    <w:rsid w:val="008549E6"/>
    <w:rsid w:val="008B4418"/>
    <w:rsid w:val="009F4B41"/>
    <w:rsid w:val="00B11DA9"/>
    <w:rsid w:val="00B70C7D"/>
    <w:rsid w:val="00CF2EE6"/>
    <w:rsid w:val="00D1497C"/>
    <w:rsid w:val="00DE5919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8AB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5848AB"/>
    <w:pPr>
      <w:spacing w:line="321" w:lineRule="exact"/>
      <w:ind w:left="17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848AB"/>
    <w:pPr>
      <w:ind w:left="898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848AB"/>
    <w:pPr>
      <w:ind w:left="898" w:hanging="360"/>
    </w:pPr>
  </w:style>
  <w:style w:type="paragraph" w:customStyle="1" w:styleId="TableParagraph">
    <w:name w:val="Table Paragraph"/>
    <w:basedOn w:val="a"/>
    <w:uiPriority w:val="1"/>
    <w:qFormat/>
    <w:rsid w:val="005848AB"/>
  </w:style>
  <w:style w:type="paragraph" w:styleId="a5">
    <w:name w:val="header"/>
    <w:basedOn w:val="a"/>
    <w:link w:val="Char"/>
    <w:uiPriority w:val="99"/>
    <w:unhideWhenUsed/>
    <w:rsid w:val="00D1497C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5"/>
    <w:uiPriority w:val="99"/>
    <w:rsid w:val="00D1497C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D1497C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D1497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481</Characters>
  <Application>Microsoft Office Word</Application>
  <DocSecurity>0</DocSecurity>
  <Lines>13</Lines>
  <Paragraphs>7</Paragraphs>
  <ScaleCrop>false</ScaleCrop>
  <Company>LLTS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MC SYSTEM</cp:lastModifiedBy>
  <cp:revision>10</cp:revision>
  <dcterms:created xsi:type="dcterms:W3CDTF">2017-05-03T09:07:00Z</dcterms:created>
  <dcterms:modified xsi:type="dcterms:W3CDTF">2017-05-25T09:38:00Z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