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19" w:rsidRPr="001507A1" w:rsidRDefault="00D1497C">
      <w:pPr>
        <w:tabs>
          <w:tab w:val="left" w:pos="10905"/>
        </w:tabs>
        <w:spacing w:before="165"/>
        <w:ind w:left="105"/>
        <w:rPr>
          <w:rFonts w:ascii="Garamond"/>
          <w:sz w:val="60"/>
          <w:lang w:val="fr-FR"/>
        </w:rPr>
      </w:pPr>
      <w:r>
        <w:rPr>
          <w:rFonts w:ascii="Garamond" w:hAnsi="Garamond"/>
          <w:color w:val="FFFFFF"/>
          <w:sz w:val="60"/>
          <w:shd w:val="clear" w:color="auto" w:fill="CC9900"/>
          <w:lang w:val="fr-FR"/>
        </w:rPr>
        <w:t>Utilisation d’appareils de chauffage d’appoint</w:t>
      </w:r>
      <w:r w:rsidR="001507A1">
        <w:rPr>
          <w:rFonts w:ascii="Garamond" w:eastAsiaTheme="minorEastAsia" w:hAnsi="Garamond" w:hint="eastAsia"/>
          <w:color w:val="FFFFFF"/>
          <w:sz w:val="60"/>
          <w:shd w:val="clear" w:color="auto" w:fill="CC9900"/>
          <w:lang w:val="fr-FR" w:eastAsia="zh-CN"/>
        </w:rPr>
        <w:tab/>
      </w:r>
      <w:r w:rsidR="001507A1">
        <w:rPr>
          <w:rFonts w:ascii="Garamond" w:eastAsiaTheme="minorEastAsia" w:hAnsi="Garamond" w:hint="eastAsia"/>
          <w:color w:val="FFFFFF"/>
          <w:sz w:val="60"/>
          <w:shd w:val="clear" w:color="auto" w:fill="CC9900"/>
          <w:lang w:val="fr-FR" w:eastAsia="zh-CN"/>
        </w:rPr>
        <w:br/>
      </w:r>
      <w:r>
        <w:rPr>
          <w:rFonts w:ascii="Garamond" w:hAnsi="Garamond"/>
          <w:color w:val="FFFFFF"/>
          <w:sz w:val="60"/>
          <w:shd w:val="clear" w:color="auto" w:fill="CC9900"/>
          <w:lang w:val="fr-FR"/>
        </w:rPr>
        <w:t>et sécurité incendie en hiver</w:t>
      </w:r>
      <w:r>
        <w:rPr>
          <w:rFonts w:ascii="Garamond" w:hAnsi="Garamond"/>
          <w:color w:val="FFFFFF"/>
          <w:sz w:val="60"/>
          <w:shd w:val="clear" w:color="auto" w:fill="CC9900"/>
          <w:lang w:val="fr-FR"/>
        </w:rPr>
        <w:tab/>
      </w:r>
    </w:p>
    <w:p w:rsidR="00DE5919" w:rsidRPr="001507A1" w:rsidRDefault="00DE5919">
      <w:pPr>
        <w:pStyle w:val="a3"/>
        <w:ind w:left="0" w:firstLine="0"/>
        <w:rPr>
          <w:rFonts w:ascii="Garamond"/>
          <w:sz w:val="20"/>
          <w:lang w:val="fr-FR"/>
        </w:rPr>
      </w:pPr>
    </w:p>
    <w:p w:rsidR="00DE5919" w:rsidRPr="001507A1" w:rsidRDefault="00D1497C">
      <w:pPr>
        <w:pStyle w:val="1"/>
        <w:spacing w:before="225"/>
        <w:ind w:left="2631"/>
        <w:rPr>
          <w:lang w:val="fr-FR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 wp14:anchorId="15FAB16D" wp14:editId="4D7555C6">
            <wp:simplePos x="0" y="0"/>
            <wp:positionH relativeFrom="page">
              <wp:posOffset>588009</wp:posOffset>
            </wp:positionH>
            <wp:positionV relativeFrom="paragraph">
              <wp:posOffset>132992</wp:posOffset>
            </wp:positionV>
            <wp:extent cx="1412240" cy="179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Utilisation d’appareils de chauffage au kérosène interdite</w:t>
      </w:r>
    </w:p>
    <w:p w:rsidR="00DE5919" w:rsidRPr="001507A1" w:rsidRDefault="00D1497C" w:rsidP="001507A1">
      <w:pPr>
        <w:pStyle w:val="a4"/>
        <w:numPr>
          <w:ilvl w:val="0"/>
          <w:numId w:val="2"/>
        </w:numPr>
        <w:tabs>
          <w:tab w:val="left" w:pos="3352"/>
          <w:tab w:val="left" w:pos="3353"/>
        </w:tabs>
        <w:ind w:right="185"/>
        <w:rPr>
          <w:sz w:val="24"/>
          <w:lang w:val="fr-FR"/>
        </w:rPr>
      </w:pPr>
      <w:r>
        <w:rPr>
          <w:sz w:val="24"/>
          <w:lang w:val="fr-FR"/>
        </w:rPr>
        <w:t xml:space="preserve">Le Code de prévention des incendies du District de Columbia interdit formellement toute utilisation d’appareils de chauffage au kérosène </w:t>
      </w:r>
      <w:r w:rsidR="00E133B7">
        <w:rPr>
          <w:sz w:val="24"/>
          <w:lang w:val="fr-FR"/>
        </w:rPr>
        <w:t>dans tout</w:t>
      </w:r>
      <w:r>
        <w:rPr>
          <w:sz w:val="24"/>
          <w:lang w:val="fr-FR"/>
        </w:rPr>
        <w:t xml:space="preserve"> Washington, DC.</w:t>
      </w:r>
    </w:p>
    <w:p w:rsidR="00DE5919" w:rsidRPr="001507A1" w:rsidRDefault="00D1497C" w:rsidP="001B511A">
      <w:pPr>
        <w:pStyle w:val="a4"/>
        <w:numPr>
          <w:ilvl w:val="0"/>
          <w:numId w:val="2"/>
        </w:numPr>
        <w:tabs>
          <w:tab w:val="left" w:pos="3352"/>
          <w:tab w:val="left" w:pos="3353"/>
        </w:tabs>
        <w:ind w:right="185"/>
        <w:rPr>
          <w:sz w:val="24"/>
          <w:lang w:val="fr-FR"/>
        </w:rPr>
      </w:pPr>
      <w:r>
        <w:rPr>
          <w:sz w:val="24"/>
          <w:lang w:val="fr-FR"/>
        </w:rPr>
        <w:t>Les appareils de chauffage au kérosène seront confisqués par le</w:t>
      </w:r>
      <w:r w:rsidR="00063150" w:rsidRPr="00063150">
        <w:rPr>
          <w:sz w:val="24"/>
          <w:lang w:val="es-ES"/>
        </w:rPr>
        <w:t> </w:t>
      </w:r>
      <w:r>
        <w:rPr>
          <w:sz w:val="24"/>
          <w:lang w:val="fr-FR"/>
        </w:rPr>
        <w:t xml:space="preserve">Département </w:t>
      </w:r>
      <w:r w:rsidR="001B511A" w:rsidRPr="001B511A">
        <w:rPr>
          <w:sz w:val="24"/>
          <w:lang w:val="fr-FR"/>
        </w:rPr>
        <w:t xml:space="preserve">des Services d’incendie et médicaux d’urgence </w:t>
      </w:r>
      <w:r>
        <w:rPr>
          <w:sz w:val="24"/>
          <w:lang w:val="fr-FR"/>
        </w:rPr>
        <w:t>du</w:t>
      </w:r>
      <w:r w:rsidR="00063150" w:rsidRPr="00063150">
        <w:rPr>
          <w:sz w:val="24"/>
          <w:lang w:val="es-ES"/>
        </w:rPr>
        <w:t> </w:t>
      </w:r>
      <w:r>
        <w:rPr>
          <w:sz w:val="24"/>
          <w:lang w:val="fr-FR"/>
        </w:rPr>
        <w:t>District de Columbia. Toute infraction ou violation est passible d’une</w:t>
      </w:r>
      <w:r w:rsidR="00063150">
        <w:rPr>
          <w:sz w:val="24"/>
        </w:rPr>
        <w:t> </w:t>
      </w:r>
      <w:r>
        <w:rPr>
          <w:sz w:val="24"/>
          <w:lang w:val="fr-FR"/>
        </w:rPr>
        <w:t xml:space="preserve">amende maximale de </w:t>
      </w:r>
      <w:r w:rsidRPr="001507A1">
        <w:rPr>
          <w:sz w:val="24"/>
          <w:lang w:val="fr-FR"/>
        </w:rPr>
        <w:t>300,00 $.</w:t>
      </w:r>
    </w:p>
    <w:p w:rsidR="00DE5919" w:rsidRPr="0012599D" w:rsidRDefault="00D1497C" w:rsidP="003F24EE">
      <w:pPr>
        <w:pStyle w:val="a4"/>
        <w:numPr>
          <w:ilvl w:val="0"/>
          <w:numId w:val="2"/>
        </w:numPr>
        <w:tabs>
          <w:tab w:val="left" w:pos="3352"/>
          <w:tab w:val="left" w:pos="3353"/>
        </w:tabs>
        <w:ind w:right="185"/>
        <w:rPr>
          <w:sz w:val="24"/>
          <w:lang w:val="fr-FR"/>
        </w:rPr>
      </w:pPr>
      <w:r w:rsidRPr="0012599D">
        <w:rPr>
          <w:sz w:val="24"/>
          <w:lang w:val="fr-FR"/>
        </w:rPr>
        <w:t>Les appareils de chauffage au kérosène augmentent con</w:t>
      </w:r>
      <w:r w:rsidR="00063150" w:rsidRPr="0012599D">
        <w:rPr>
          <w:sz w:val="24"/>
          <w:lang w:val="fr-FR"/>
        </w:rPr>
        <w:t>sidérablement le</w:t>
      </w:r>
      <w:r w:rsidR="00BD18EF">
        <w:rPr>
          <w:sz w:val="24"/>
        </w:rPr>
        <w:t> </w:t>
      </w:r>
      <w:r w:rsidR="00063150" w:rsidRPr="0012599D">
        <w:rPr>
          <w:sz w:val="24"/>
          <w:lang w:val="fr-FR"/>
        </w:rPr>
        <w:t>risque d’incendie dans tous les endroits où ils sont utilisés.</w:t>
      </w:r>
    </w:p>
    <w:p w:rsidR="00DE5919" w:rsidRPr="001507A1" w:rsidRDefault="00DE5919">
      <w:pPr>
        <w:pStyle w:val="a3"/>
        <w:ind w:left="0" w:firstLine="0"/>
        <w:rPr>
          <w:rFonts w:eastAsiaTheme="minorEastAsia"/>
          <w:sz w:val="13"/>
          <w:szCs w:val="18"/>
          <w:lang w:val="fr-FR" w:eastAsia="zh-CN"/>
        </w:rPr>
      </w:pPr>
    </w:p>
    <w:p w:rsidR="00DE5919" w:rsidRDefault="007E4B4E">
      <w:pPr>
        <w:pStyle w:val="a3"/>
        <w:ind w:left="0" w:firstLine="0"/>
        <w:rPr>
          <w:rFonts w:eastAsiaTheme="minorEastAsia"/>
          <w:lang w:val="fr-FR" w:eastAsia="zh-CN"/>
        </w:rPr>
      </w:pPr>
      <w:r>
        <w:rPr>
          <w:noProof/>
          <w:lang w:val="en-GB" w:eastAsia="zh-CN"/>
        </w:rPr>
        <w:drawing>
          <wp:anchor distT="0" distB="0" distL="0" distR="0" simplePos="0" relativeHeight="268430591" behindDoc="1" locked="0" layoutInCell="1" allowOverlap="1" wp14:anchorId="01EE0E25" wp14:editId="24A15BF6">
            <wp:simplePos x="0" y="0"/>
            <wp:positionH relativeFrom="page">
              <wp:posOffset>5736590</wp:posOffset>
            </wp:positionH>
            <wp:positionV relativeFrom="paragraph">
              <wp:posOffset>78740</wp:posOffset>
            </wp:positionV>
            <wp:extent cx="1485900" cy="190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B4E" w:rsidRDefault="007E4B4E">
      <w:pPr>
        <w:pStyle w:val="a3"/>
        <w:ind w:left="0" w:firstLine="0"/>
        <w:rPr>
          <w:rFonts w:eastAsiaTheme="minorEastAsia"/>
          <w:lang w:val="fr-FR" w:eastAsia="zh-CN"/>
        </w:rPr>
      </w:pPr>
    </w:p>
    <w:p w:rsidR="0012599D" w:rsidRPr="0012599D" w:rsidRDefault="0012599D">
      <w:pPr>
        <w:pStyle w:val="a3"/>
        <w:ind w:left="0" w:firstLine="0"/>
        <w:rPr>
          <w:rFonts w:eastAsiaTheme="minorEastAsia"/>
          <w:sz w:val="16"/>
          <w:lang w:val="fr-FR" w:eastAsia="zh-CN"/>
        </w:rPr>
      </w:pPr>
    </w:p>
    <w:p w:rsidR="0012599D" w:rsidRPr="0012599D" w:rsidRDefault="0012599D">
      <w:pPr>
        <w:pStyle w:val="a3"/>
        <w:ind w:left="0" w:firstLine="0"/>
        <w:rPr>
          <w:rFonts w:eastAsiaTheme="minorEastAsia"/>
          <w:sz w:val="16"/>
          <w:lang w:val="fr-FR" w:eastAsia="zh-CN"/>
        </w:rPr>
      </w:pPr>
    </w:p>
    <w:p w:rsidR="0012599D" w:rsidRPr="0012599D" w:rsidRDefault="0012599D" w:rsidP="0012599D">
      <w:pPr>
        <w:spacing w:before="230" w:line="321" w:lineRule="exact"/>
        <w:ind w:right="2835"/>
        <w:jc w:val="right"/>
        <w:rPr>
          <w:sz w:val="28"/>
          <w:szCs w:val="28"/>
          <w:lang w:val="en-GB"/>
        </w:rPr>
      </w:pPr>
      <w:r w:rsidRPr="0012599D">
        <w:rPr>
          <w:sz w:val="28"/>
          <w:szCs w:val="28"/>
          <w:lang w:val="fr-FR"/>
        </w:rPr>
        <w:t>Appareils de chauffage d’appoint approuvés</w:t>
      </w:r>
    </w:p>
    <w:p w:rsidR="0012599D" w:rsidRPr="00541446" w:rsidRDefault="0012599D" w:rsidP="00134C52">
      <w:pPr>
        <w:pStyle w:val="a3"/>
        <w:tabs>
          <w:tab w:val="right" w:pos="3752"/>
        </w:tabs>
        <w:spacing w:line="275" w:lineRule="exact"/>
        <w:ind w:left="0" w:right="2835" w:firstLine="0"/>
        <w:jc w:val="right"/>
        <w:rPr>
          <w:lang w:val="es-ES"/>
        </w:rPr>
      </w:pPr>
      <w:r w:rsidRPr="00541446">
        <w:rPr>
          <w:lang w:val="es-ES"/>
        </w:rPr>
        <w:t>-</w:t>
      </w:r>
      <w:r w:rsidRPr="00541446">
        <w:rPr>
          <w:lang w:val="es-ES"/>
        </w:rPr>
        <w:tab/>
      </w:r>
      <w:r>
        <w:rPr>
          <w:lang w:val="fr-FR"/>
        </w:rPr>
        <w:t>R</w:t>
      </w:r>
      <w:bookmarkStart w:id="0" w:name="_GoBack"/>
      <w:bookmarkEnd w:id="0"/>
      <w:r>
        <w:rPr>
          <w:lang w:val="fr-FR"/>
        </w:rPr>
        <w:t>adiateurs électriques d’appoint</w:t>
      </w:r>
    </w:p>
    <w:p w:rsidR="0012599D" w:rsidRPr="0012599D" w:rsidRDefault="0012599D" w:rsidP="0012599D">
      <w:pPr>
        <w:pStyle w:val="a4"/>
        <w:numPr>
          <w:ilvl w:val="0"/>
          <w:numId w:val="1"/>
        </w:numPr>
        <w:tabs>
          <w:tab w:val="left" w:pos="538"/>
          <w:tab w:val="left" w:pos="539"/>
        </w:tabs>
        <w:ind w:left="0" w:right="2835"/>
        <w:jc w:val="right"/>
        <w:rPr>
          <w:sz w:val="24"/>
          <w:lang w:val="en-GB"/>
        </w:rPr>
      </w:pPr>
      <w:r>
        <w:rPr>
          <w:sz w:val="24"/>
          <w:lang w:val="fr-FR"/>
        </w:rPr>
        <w:t>Radiateurs électriques à bain d’huile ou à l’eau</w:t>
      </w:r>
    </w:p>
    <w:p w:rsidR="0012599D" w:rsidRPr="00D1497C" w:rsidRDefault="0012599D" w:rsidP="0012599D">
      <w:pPr>
        <w:pStyle w:val="a4"/>
        <w:numPr>
          <w:ilvl w:val="0"/>
          <w:numId w:val="1"/>
        </w:numPr>
        <w:tabs>
          <w:tab w:val="left" w:pos="538"/>
          <w:tab w:val="left" w:pos="539"/>
        </w:tabs>
        <w:ind w:left="0" w:right="2835"/>
        <w:jc w:val="right"/>
        <w:rPr>
          <w:sz w:val="24"/>
        </w:rPr>
      </w:pPr>
      <w:r>
        <w:rPr>
          <w:sz w:val="24"/>
          <w:lang w:val="fr-FR"/>
        </w:rPr>
        <w:t>Plinthes chauffantes électriques</w:t>
      </w:r>
    </w:p>
    <w:p w:rsidR="001507A1" w:rsidRDefault="001507A1">
      <w:pPr>
        <w:pStyle w:val="a3"/>
        <w:ind w:left="0" w:firstLine="0"/>
        <w:rPr>
          <w:rFonts w:eastAsiaTheme="minorEastAsia"/>
          <w:lang w:val="fr-FR" w:eastAsia="zh-CN"/>
        </w:rPr>
      </w:pPr>
    </w:p>
    <w:p w:rsidR="001507A1" w:rsidRDefault="001507A1" w:rsidP="0012599D">
      <w:pPr>
        <w:pStyle w:val="a3"/>
        <w:tabs>
          <w:tab w:val="left" w:pos="1325"/>
        </w:tabs>
        <w:spacing w:line="275" w:lineRule="exact"/>
        <w:ind w:leftChars="-310" w:left="-3" w:rightChars="1243" w:right="2735" w:hangingChars="283" w:hanging="679"/>
        <w:jc w:val="right"/>
        <w:rPr>
          <w:rFonts w:eastAsiaTheme="minorEastAsia"/>
          <w:lang w:eastAsia="zh-CN"/>
        </w:rPr>
      </w:pPr>
    </w:p>
    <w:p w:rsidR="001507A1" w:rsidRPr="001507A1" w:rsidRDefault="001507A1" w:rsidP="001507A1">
      <w:pPr>
        <w:pStyle w:val="1"/>
        <w:spacing w:line="240" w:lineRule="auto"/>
        <w:ind w:rightChars="-2993" w:right="-6585"/>
        <w:rPr>
          <w:lang w:val="fr-FR"/>
        </w:rPr>
      </w:pPr>
      <w:r>
        <w:rPr>
          <w:lang w:val="fr-FR"/>
        </w:rPr>
        <w:t>Conseils de sécurité pour les appareils de chauffage d’appoint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spacing w:before="1"/>
        <w:rPr>
          <w:sz w:val="24"/>
          <w:lang w:val="fr-FR"/>
        </w:rPr>
      </w:pPr>
      <w:r>
        <w:rPr>
          <w:noProof/>
          <w:lang w:val="en-GB" w:eastAsia="zh-CN"/>
        </w:rPr>
        <w:drawing>
          <wp:anchor distT="0" distB="0" distL="0" distR="0" simplePos="0" relativeHeight="1072" behindDoc="0" locked="0" layoutInCell="1" allowOverlap="1" wp14:anchorId="406FC6BF" wp14:editId="1B285146">
            <wp:simplePos x="0" y="0"/>
            <wp:positionH relativeFrom="page">
              <wp:posOffset>6849109</wp:posOffset>
            </wp:positionH>
            <wp:positionV relativeFrom="page">
              <wp:posOffset>200660</wp:posOffset>
            </wp:positionV>
            <wp:extent cx="570865" cy="708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fr-FR"/>
        </w:rPr>
        <w:t>Lisez les instructions du fabricant avant d’utiliser tout appareil de chauffage d’appoint.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Ne laissez jamais un appareil de chauffage d’appoint allumé sans surveillance ou seul avec des</w:t>
      </w:r>
      <w:r w:rsidR="001507A1" w:rsidRPr="001507A1">
        <w:rPr>
          <w:sz w:val="24"/>
          <w:lang w:val="fr-FR"/>
        </w:rPr>
        <w:t> </w:t>
      </w:r>
      <w:r>
        <w:rPr>
          <w:sz w:val="24"/>
          <w:lang w:val="fr-FR"/>
        </w:rPr>
        <w:t>enfants.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N’utilisez jamais d’appareils de chauffage d’appoint électriques dans une salle de bain ou</w:t>
      </w:r>
      <w:r w:rsidR="004670DC">
        <w:rPr>
          <w:sz w:val="24"/>
        </w:rPr>
        <w:t> </w:t>
      </w:r>
      <w:r>
        <w:rPr>
          <w:sz w:val="24"/>
          <w:lang w:val="fr-FR"/>
        </w:rPr>
        <w:t>à</w:t>
      </w:r>
      <w:r w:rsidR="001507A1" w:rsidRPr="001507A1">
        <w:rPr>
          <w:sz w:val="24"/>
          <w:lang w:val="fr-FR"/>
        </w:rPr>
        <w:t> </w:t>
      </w:r>
      <w:r>
        <w:rPr>
          <w:sz w:val="24"/>
          <w:lang w:val="fr-FR"/>
        </w:rPr>
        <w:t>proximité d’eau.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Maintenez un dégagement d’au moins 1 m (3 ft) autour de tout appareil de chauffage d’appoint.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Vérifiez régulièrement que les cordons électriques ne sont pas effilochés ou autrement endommagés.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Ne passez jamais le cordon de l’appareil de chauffage sous des tapis ou des revêtements de</w:t>
      </w:r>
      <w:r w:rsidR="001507A1" w:rsidRPr="001507A1">
        <w:rPr>
          <w:sz w:val="24"/>
          <w:lang w:val="fr-FR"/>
        </w:rPr>
        <w:t> </w:t>
      </w:r>
      <w:r>
        <w:rPr>
          <w:sz w:val="24"/>
          <w:lang w:val="fr-FR"/>
        </w:rPr>
        <w:t>sol.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N’utilisez des rallonges qu’en cas d’absolue nécessité.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Si vous devez utiliser une rallonge, suivez les recommandations du fabricant de l’appareil de</w:t>
      </w:r>
      <w:r w:rsidR="004670DC">
        <w:rPr>
          <w:sz w:val="24"/>
        </w:rPr>
        <w:t> </w:t>
      </w:r>
      <w:r>
        <w:rPr>
          <w:sz w:val="24"/>
          <w:lang w:val="fr-FR"/>
        </w:rPr>
        <w:t>chauffage.</w:t>
      </w:r>
    </w:p>
    <w:p w:rsidR="00DE5919" w:rsidRPr="00BD4C86" w:rsidRDefault="00DE5919" w:rsidP="00BD4C86">
      <w:pPr>
        <w:pStyle w:val="a3"/>
        <w:pageBreakBefore/>
        <w:spacing w:before="9"/>
        <w:ind w:left="0" w:firstLine="0"/>
        <w:rPr>
          <w:rFonts w:eastAsiaTheme="minorEastAsia"/>
          <w:sz w:val="23"/>
          <w:lang w:val="fr-FR" w:eastAsia="zh-CN"/>
        </w:rPr>
      </w:pPr>
    </w:p>
    <w:p w:rsidR="00DE5919" w:rsidRPr="001507A1" w:rsidRDefault="00D1497C">
      <w:pPr>
        <w:pStyle w:val="1"/>
        <w:spacing w:line="240" w:lineRule="auto"/>
        <w:rPr>
          <w:lang w:val="fr-FR"/>
        </w:rPr>
      </w:pPr>
      <w:r>
        <w:rPr>
          <w:lang w:val="fr-FR"/>
        </w:rPr>
        <w:t>Conseils de sécurité pour le chauffage en hiver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ind w:right="1426"/>
        <w:rPr>
          <w:sz w:val="24"/>
          <w:lang w:val="fr-FR"/>
        </w:rPr>
      </w:pPr>
      <w:r>
        <w:rPr>
          <w:sz w:val="24"/>
          <w:lang w:val="fr-FR"/>
        </w:rPr>
        <w:t>Veillez à faire contrôler votre chaudière tous les ans par un spécialiste qualifié et</w:t>
      </w:r>
      <w:r w:rsidR="004670DC" w:rsidRPr="004670DC">
        <w:rPr>
          <w:sz w:val="24"/>
          <w:lang w:val="es-ES"/>
        </w:rPr>
        <w:t> </w:t>
      </w:r>
      <w:r>
        <w:rPr>
          <w:sz w:val="24"/>
          <w:lang w:val="fr-FR"/>
        </w:rPr>
        <w:t>à</w:t>
      </w:r>
      <w:r w:rsidR="001507A1" w:rsidRPr="001507A1">
        <w:rPr>
          <w:sz w:val="24"/>
          <w:lang w:val="fr-FR"/>
        </w:rPr>
        <w:t> </w:t>
      </w:r>
      <w:r>
        <w:rPr>
          <w:sz w:val="24"/>
          <w:lang w:val="fr-FR"/>
        </w:rPr>
        <w:t xml:space="preserve">la faire réparer, </w:t>
      </w:r>
      <w:r w:rsidR="00E133B7">
        <w:rPr>
          <w:sz w:val="24"/>
          <w:lang w:val="fr-FR"/>
        </w:rPr>
        <w:t>le cas échéant</w:t>
      </w:r>
      <w:r>
        <w:rPr>
          <w:sz w:val="24"/>
          <w:lang w:val="fr-FR"/>
        </w:rPr>
        <w:t>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 xml:space="preserve">Faites contrôler et ramoner votre cheminée tous les ans, </w:t>
      </w:r>
      <w:r w:rsidR="00E133B7">
        <w:rPr>
          <w:sz w:val="24"/>
          <w:lang w:val="fr-FR"/>
        </w:rPr>
        <w:t>le cas échéant</w:t>
      </w:r>
      <w:r>
        <w:rPr>
          <w:sz w:val="24"/>
          <w:lang w:val="fr-FR"/>
        </w:rPr>
        <w:t>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spacing w:before="1"/>
        <w:rPr>
          <w:sz w:val="24"/>
          <w:lang w:val="fr-FR"/>
        </w:rPr>
      </w:pPr>
      <w:r>
        <w:rPr>
          <w:sz w:val="24"/>
          <w:lang w:val="fr-FR"/>
        </w:rPr>
        <w:t>Ne laissez pas un feu sans surveillance dans la cheminée.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N’utilisez pas le four ou la cuisinière pour chauffer la maison.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ind w:right="559"/>
        <w:rPr>
          <w:sz w:val="24"/>
          <w:lang w:val="fr-FR"/>
        </w:rPr>
      </w:pPr>
      <w:r>
        <w:rPr>
          <w:sz w:val="24"/>
          <w:lang w:val="fr-FR"/>
        </w:rPr>
        <w:t>Vérifiez qu’un détecteur de fumée en bon état de fonctionnement est installé à chaque niveau de votre logement et pensez à changer les piles tous les six mois.</w:t>
      </w:r>
    </w:p>
    <w:p w:rsidR="00DE5919" w:rsidRPr="001507A1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fr-FR"/>
        </w:rPr>
      </w:pPr>
      <w:r>
        <w:rPr>
          <w:sz w:val="24"/>
          <w:lang w:val="fr-FR"/>
        </w:rPr>
        <w:t>Établissez et mettez en pratique un plan d’évacuation avec votre famille.</w:t>
      </w:r>
    </w:p>
    <w:p w:rsidR="00DE5919" w:rsidRPr="001507A1" w:rsidRDefault="00DE5919">
      <w:pPr>
        <w:pStyle w:val="a3"/>
        <w:spacing w:before="1"/>
        <w:ind w:left="0" w:firstLine="0"/>
        <w:rPr>
          <w:lang w:val="fr-FR"/>
        </w:rPr>
      </w:pPr>
    </w:p>
    <w:p w:rsidR="00DE5919" w:rsidRPr="001507A1" w:rsidRDefault="00D1497C">
      <w:pPr>
        <w:pStyle w:val="1"/>
        <w:rPr>
          <w:lang w:val="fr-FR"/>
        </w:rPr>
      </w:pPr>
      <w:r>
        <w:rPr>
          <w:lang w:val="fr-FR"/>
        </w:rPr>
        <w:t>Pour plus d’informations</w:t>
      </w:r>
    </w:p>
    <w:p w:rsidR="00DE5919" w:rsidRPr="001507A1" w:rsidRDefault="00D1497C">
      <w:pPr>
        <w:pStyle w:val="a3"/>
        <w:spacing w:line="275" w:lineRule="exact"/>
        <w:ind w:left="178" w:firstLine="0"/>
        <w:rPr>
          <w:lang w:val="fr-FR"/>
        </w:rPr>
      </w:pPr>
      <w:r>
        <w:rPr>
          <w:lang w:val="fr-FR"/>
        </w:rPr>
        <w:t xml:space="preserve">Appelez la Division d’éducation en matière de sécurité incendie du Département </w:t>
      </w:r>
      <w:r w:rsidR="001B511A" w:rsidRPr="001B511A">
        <w:rPr>
          <w:lang w:val="fr-FR"/>
        </w:rPr>
        <w:t xml:space="preserve">des Services d’incendie et médicaux d’urgence </w:t>
      </w:r>
      <w:r>
        <w:rPr>
          <w:lang w:val="fr-FR"/>
        </w:rPr>
        <w:t>du</w:t>
      </w:r>
      <w:r w:rsidR="00BD4C86" w:rsidRPr="00BD4C86">
        <w:rPr>
          <w:lang w:val="fr-FR"/>
        </w:rPr>
        <w:t> </w:t>
      </w:r>
      <w:r>
        <w:rPr>
          <w:lang w:val="fr-FR"/>
        </w:rPr>
        <w:t>District de Columbia au (202) 727 1600</w:t>
      </w:r>
    </w:p>
    <w:p w:rsidR="00DE5919" w:rsidRDefault="00DE5919">
      <w:pPr>
        <w:spacing w:line="275" w:lineRule="exact"/>
        <w:rPr>
          <w:rFonts w:eastAsiaTheme="minorEastAsia"/>
          <w:lang w:val="fr-FR" w:eastAsia="zh-CN"/>
        </w:rPr>
      </w:pPr>
    </w:p>
    <w:p w:rsidR="001507A1" w:rsidRDefault="001507A1">
      <w:pPr>
        <w:spacing w:line="275" w:lineRule="exact"/>
        <w:rPr>
          <w:rFonts w:eastAsiaTheme="minorEastAsia"/>
          <w:lang w:val="fr-FR" w:eastAsia="zh-CN"/>
        </w:rPr>
      </w:pPr>
    </w:p>
    <w:p w:rsidR="0012599D" w:rsidRDefault="0012599D">
      <w:pPr>
        <w:spacing w:line="275" w:lineRule="exact"/>
        <w:rPr>
          <w:rFonts w:eastAsiaTheme="minorEastAsia"/>
          <w:lang w:val="fr-FR" w:eastAsia="zh-CN"/>
        </w:rPr>
      </w:pPr>
    </w:p>
    <w:p w:rsidR="00DE5919" w:rsidRPr="001507A1" w:rsidRDefault="00DE5919" w:rsidP="00D1497C">
      <w:pPr>
        <w:pStyle w:val="a3"/>
        <w:ind w:left="0" w:firstLine="0"/>
        <w:rPr>
          <w:lang w:val="fr-FR"/>
        </w:rPr>
      </w:pPr>
    </w:p>
    <w:sectPr w:rsidR="00DE5919" w:rsidRPr="001507A1">
      <w:headerReference w:type="default" r:id="rId12"/>
      <w:footerReference w:type="default" r:id="rId13"/>
      <w:pgSz w:w="12240" w:h="15840"/>
      <w:pgMar w:top="1300" w:right="440" w:bottom="1300" w:left="700" w:header="88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98" w:rsidRDefault="00325B98">
      <w:r>
        <w:separator/>
      </w:r>
    </w:p>
  </w:endnote>
  <w:endnote w:type="continuationSeparator" w:id="0">
    <w:p w:rsidR="00325B98" w:rsidRDefault="0032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9" w:rsidRPr="00D1497C" w:rsidRDefault="00325B98">
    <w:pPr>
      <w:pStyle w:val="a3"/>
      <w:spacing w:line="14" w:lineRule="auto"/>
      <w:ind w:left="0" w:firstLine="0"/>
      <w:rPr>
        <w:sz w:val="20"/>
      </w:rPr>
    </w:pPr>
    <w:r>
      <w:rPr>
        <w:noProof/>
        <w:sz w:val="20"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5pt;margin-top:723.45pt;width:345.65pt;height:31.3pt;z-index:-251657216;mso-position-horizontal-relative:page;mso-position-vertical-relative:page" filled="f" stroked="f">
          <v:textbox inset="0,0,0,0">
            <w:txbxContent>
              <w:p w:rsidR="007E4B4E" w:rsidRPr="00D1497C" w:rsidRDefault="007E4B4E" w:rsidP="007E4B4E">
                <w:pPr>
                  <w:spacing w:before="11" w:line="320" w:lineRule="exact"/>
                  <w:ind w:left="262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bCs/>
                    <w:sz w:val="28"/>
                    <w:lang w:val="fr-FR"/>
                  </w:rPr>
                  <w:t>Gregory Dean</w:t>
                </w:r>
              </w:p>
              <w:p w:rsidR="007E4B4E" w:rsidRPr="00D1497C" w:rsidRDefault="007E4B4E" w:rsidP="007E4B4E">
                <w:pPr>
                  <w:spacing w:line="274" w:lineRule="exact"/>
                  <w:ind w:left="20"/>
                  <w:jc w:val="right"/>
                  <w:rPr>
                    <w:i/>
                    <w:sz w:val="24"/>
                  </w:rPr>
                </w:pPr>
                <w:r>
                  <w:rPr>
                    <w:i/>
                    <w:iCs/>
                    <w:sz w:val="24"/>
                    <w:lang w:val="fr-FR"/>
                  </w:rPr>
                  <w:t>Capitaine du Département Fire and EMS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98" w:rsidRDefault="00325B98">
      <w:r>
        <w:separator/>
      </w:r>
    </w:p>
  </w:footnote>
  <w:footnote w:type="continuationSeparator" w:id="0">
    <w:p w:rsidR="00325B98" w:rsidRDefault="0032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9" w:rsidRPr="00D1497C" w:rsidRDefault="00325B98">
    <w:pPr>
      <w:pStyle w:val="a3"/>
      <w:spacing w:line="14" w:lineRule="auto"/>
      <w:ind w:left="0" w:firstLine="0"/>
      <w:rPr>
        <w:sz w:val="20"/>
      </w:rPr>
    </w:pPr>
    <w:r>
      <w:rPr>
        <w:noProof/>
        <w:sz w:val="20"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2pt;margin-top:43pt;width:368.6pt;height:24pt;z-index:-251658240;mso-position-horizontal-relative:page;mso-position-vertical-relative:page" filled="f" stroked="f">
          <v:textbox inset="0,0,0,0">
            <w:txbxContent>
              <w:p w:rsidR="007E4B4E" w:rsidRPr="001507A1" w:rsidRDefault="007E4B4E" w:rsidP="007E4B4E">
                <w:pPr>
                  <w:spacing w:line="468" w:lineRule="exact"/>
                  <w:ind w:left="20"/>
                  <w:rPr>
                    <w:rFonts w:ascii="Calibri"/>
                    <w:b/>
                    <w:sz w:val="44"/>
                    <w:lang w:val="fr-FR"/>
                  </w:rPr>
                </w:pPr>
                <w:r>
                  <w:rPr>
                    <w:rFonts w:ascii="Calibri" w:hAnsi="Calibri"/>
                    <w:b/>
                    <w:bCs/>
                    <w:sz w:val="44"/>
                    <w:lang w:val="fr-FR"/>
                  </w:rPr>
                  <w:t>Services d’incendie et médicaux d’urgence du District de Columbia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10F4"/>
    <w:multiLevelType w:val="hybridMultilevel"/>
    <w:tmpl w:val="29365896"/>
    <w:lvl w:ilvl="0" w:tplc="078E34FA">
      <w:numFmt w:val="bullet"/>
      <w:lvlText w:val="-"/>
      <w:lvlJc w:val="left"/>
      <w:pPr>
        <w:ind w:left="335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BDEA2CC">
      <w:numFmt w:val="bullet"/>
      <w:lvlText w:val="•"/>
      <w:lvlJc w:val="left"/>
      <w:pPr>
        <w:ind w:left="4134" w:hanging="360"/>
      </w:pPr>
      <w:rPr>
        <w:rFonts w:hint="default"/>
      </w:rPr>
    </w:lvl>
    <w:lvl w:ilvl="2" w:tplc="EE282ADA">
      <w:numFmt w:val="bullet"/>
      <w:lvlText w:val="•"/>
      <w:lvlJc w:val="left"/>
      <w:pPr>
        <w:ind w:left="4908" w:hanging="360"/>
      </w:pPr>
      <w:rPr>
        <w:rFonts w:hint="default"/>
      </w:rPr>
    </w:lvl>
    <w:lvl w:ilvl="3" w:tplc="460CC0B8">
      <w:numFmt w:val="bullet"/>
      <w:lvlText w:val="•"/>
      <w:lvlJc w:val="left"/>
      <w:pPr>
        <w:ind w:left="5682" w:hanging="360"/>
      </w:pPr>
      <w:rPr>
        <w:rFonts w:hint="default"/>
      </w:rPr>
    </w:lvl>
    <w:lvl w:ilvl="4" w:tplc="EEFCE5FA"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3BFC9E1A">
      <w:numFmt w:val="bullet"/>
      <w:lvlText w:val="•"/>
      <w:lvlJc w:val="left"/>
      <w:pPr>
        <w:ind w:left="7230" w:hanging="360"/>
      </w:pPr>
      <w:rPr>
        <w:rFonts w:hint="default"/>
      </w:rPr>
    </w:lvl>
    <w:lvl w:ilvl="6" w:tplc="B57CD3D6">
      <w:numFmt w:val="bullet"/>
      <w:lvlText w:val="•"/>
      <w:lvlJc w:val="left"/>
      <w:pPr>
        <w:ind w:left="8004" w:hanging="360"/>
      </w:pPr>
      <w:rPr>
        <w:rFonts w:hint="default"/>
      </w:rPr>
    </w:lvl>
    <w:lvl w:ilvl="7" w:tplc="385C8F38">
      <w:numFmt w:val="bullet"/>
      <w:lvlText w:val="•"/>
      <w:lvlJc w:val="left"/>
      <w:pPr>
        <w:ind w:left="8778" w:hanging="360"/>
      </w:pPr>
      <w:rPr>
        <w:rFonts w:hint="default"/>
      </w:rPr>
    </w:lvl>
    <w:lvl w:ilvl="8" w:tplc="D01A313E">
      <w:numFmt w:val="bullet"/>
      <w:lvlText w:val="•"/>
      <w:lvlJc w:val="left"/>
      <w:pPr>
        <w:ind w:left="9552" w:hanging="360"/>
      </w:pPr>
      <w:rPr>
        <w:rFonts w:hint="default"/>
      </w:rPr>
    </w:lvl>
  </w:abstractNum>
  <w:abstractNum w:abstractNumId="1">
    <w:nsid w:val="622F6C3D"/>
    <w:multiLevelType w:val="hybridMultilevel"/>
    <w:tmpl w:val="66E61538"/>
    <w:lvl w:ilvl="0" w:tplc="7A3CCA2C"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99C477F8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F768F3BC">
      <w:numFmt w:val="bullet"/>
      <w:lvlText w:val="-"/>
      <w:lvlJc w:val="left"/>
      <w:pPr>
        <w:ind w:left="3352" w:hanging="360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3" w:tplc="3894FD08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A4F00BB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57A4CA2A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412E0A24">
      <w:numFmt w:val="bullet"/>
      <w:lvlText w:val="•"/>
      <w:lvlJc w:val="left"/>
      <w:pPr>
        <w:ind w:left="5198" w:hanging="360"/>
      </w:pPr>
      <w:rPr>
        <w:rFonts w:hint="default"/>
      </w:rPr>
    </w:lvl>
    <w:lvl w:ilvl="7" w:tplc="494EA8EA">
      <w:numFmt w:val="bullet"/>
      <w:lvlText w:val="•"/>
      <w:lvlJc w:val="left"/>
      <w:pPr>
        <w:ind w:left="5596" w:hanging="360"/>
      </w:pPr>
      <w:rPr>
        <w:rFonts w:hint="default"/>
      </w:rPr>
    </w:lvl>
    <w:lvl w:ilvl="8" w:tplc="A44474C8">
      <w:numFmt w:val="bullet"/>
      <w:lvlText w:val="•"/>
      <w:lvlJc w:val="left"/>
      <w:pPr>
        <w:ind w:left="59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5919"/>
    <w:rsid w:val="00063150"/>
    <w:rsid w:val="0012599D"/>
    <w:rsid w:val="00134C52"/>
    <w:rsid w:val="001507A1"/>
    <w:rsid w:val="001900E1"/>
    <w:rsid w:val="001B511A"/>
    <w:rsid w:val="00325B98"/>
    <w:rsid w:val="003C19B7"/>
    <w:rsid w:val="003F24EE"/>
    <w:rsid w:val="004670DC"/>
    <w:rsid w:val="004B6880"/>
    <w:rsid w:val="00616B35"/>
    <w:rsid w:val="00673A7D"/>
    <w:rsid w:val="007575C1"/>
    <w:rsid w:val="007E4B4E"/>
    <w:rsid w:val="00966B79"/>
    <w:rsid w:val="009830EC"/>
    <w:rsid w:val="00BD18EF"/>
    <w:rsid w:val="00BD4C86"/>
    <w:rsid w:val="00C55897"/>
    <w:rsid w:val="00C65DB4"/>
    <w:rsid w:val="00CA5A10"/>
    <w:rsid w:val="00D1497C"/>
    <w:rsid w:val="00D57BDA"/>
    <w:rsid w:val="00D81E78"/>
    <w:rsid w:val="00DC0F11"/>
    <w:rsid w:val="00DE5919"/>
    <w:rsid w:val="00E133B7"/>
    <w:rsid w:val="00EC53C6"/>
    <w:rsid w:val="00F508F8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321" w:lineRule="exact"/>
      <w:ind w:left="17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98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1497C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5"/>
    <w:uiPriority w:val="99"/>
    <w:rsid w:val="00D1497C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D1497C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D1497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6A9-175F-4EF1-B50C-3F812A1C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371</Words>
  <Characters>2075</Characters>
  <Application>Microsoft Office Word</Application>
  <DocSecurity>0</DocSecurity>
  <Lines>109</Lines>
  <Paragraphs>39</Paragraphs>
  <ScaleCrop>false</ScaleCrop>
  <Company>LLTS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MC SYSTEM</cp:lastModifiedBy>
  <cp:revision>23</cp:revision>
  <dcterms:created xsi:type="dcterms:W3CDTF">2017-05-03T09:07:00Z</dcterms:created>
  <dcterms:modified xsi:type="dcterms:W3CDTF">2017-05-25T09:38:00Z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