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5" w:rsidRPr="00BB3309" w:rsidRDefault="00EA1B65">
      <w:pPr>
        <w:pStyle w:val="a3"/>
        <w:rPr>
          <w:rFonts w:eastAsiaTheme="minorEastAsia"/>
          <w:lang w:val="fr-FR" w:eastAsia="zh-CN"/>
        </w:rPr>
      </w:pPr>
    </w:p>
    <w:p w:rsidR="00EA1B65" w:rsidRPr="00BB3309" w:rsidRDefault="00EA1B65">
      <w:pPr>
        <w:pStyle w:val="a3"/>
        <w:spacing w:before="10"/>
        <w:rPr>
          <w:sz w:val="16"/>
          <w:lang w:val="fr-FR"/>
        </w:rPr>
      </w:pPr>
    </w:p>
    <w:p w:rsidR="00EA1B65" w:rsidRPr="00C22817" w:rsidRDefault="00D53D94">
      <w:pPr>
        <w:spacing w:before="10"/>
        <w:ind w:left="284"/>
        <w:rPr>
          <w:rFonts w:ascii="Calibri"/>
          <w:b/>
          <w:sz w:val="44"/>
          <w:lang w:val="fr-FR"/>
        </w:rPr>
      </w:pPr>
      <w:r>
        <w:rPr>
          <w:noProof/>
          <w:lang w:val="en-GB" w:eastAsia="zh-CN"/>
        </w:rPr>
        <w:drawing>
          <wp:anchor distT="0" distB="0" distL="0" distR="0" simplePos="0" relativeHeight="1096" behindDoc="0" locked="0" layoutInCell="1" allowOverlap="1" wp14:anchorId="44C6F83E" wp14:editId="202E31A6">
            <wp:simplePos x="0" y="0"/>
            <wp:positionH relativeFrom="page">
              <wp:posOffset>6816090</wp:posOffset>
            </wp:positionH>
            <wp:positionV relativeFrom="paragraph">
              <wp:posOffset>-263305</wp:posOffset>
            </wp:positionV>
            <wp:extent cx="514984" cy="638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bCs/>
          <w:sz w:val="44"/>
          <w:lang w:val="fr-FR"/>
        </w:rPr>
        <w:t xml:space="preserve">Services </w:t>
      </w:r>
      <w:bookmarkStart w:id="0" w:name="_GoBack"/>
      <w:bookmarkEnd w:id="0"/>
      <w:r>
        <w:rPr>
          <w:rFonts w:ascii="Calibri"/>
          <w:b/>
          <w:bCs/>
          <w:sz w:val="44"/>
          <w:lang w:val="fr-FR"/>
        </w:rPr>
        <w:t>d</w:t>
      </w:r>
      <w:r>
        <w:rPr>
          <w:rFonts w:ascii="Calibri"/>
          <w:b/>
          <w:bCs/>
          <w:sz w:val="44"/>
          <w:lang w:val="fr-FR"/>
        </w:rPr>
        <w:t>’</w:t>
      </w:r>
      <w:r>
        <w:rPr>
          <w:rFonts w:ascii="Calibri"/>
          <w:b/>
          <w:bCs/>
          <w:sz w:val="44"/>
          <w:lang w:val="fr-FR"/>
        </w:rPr>
        <w:t>incendie et m</w:t>
      </w:r>
      <w:r w:rsidRPr="00237F16">
        <w:rPr>
          <w:rFonts w:asciiTheme="minorHAnsi" w:hAnsiTheme="minorHAnsi" w:cstheme="minorHAnsi"/>
          <w:b/>
          <w:bCs/>
          <w:sz w:val="44"/>
          <w:lang w:val="fr-FR"/>
        </w:rPr>
        <w:t>é</w:t>
      </w:r>
      <w:r>
        <w:rPr>
          <w:rFonts w:ascii="Calibri"/>
          <w:b/>
          <w:bCs/>
          <w:sz w:val="44"/>
          <w:lang w:val="fr-FR"/>
        </w:rPr>
        <w:t>dicaux d</w:t>
      </w:r>
      <w:r>
        <w:rPr>
          <w:rFonts w:ascii="Calibri"/>
          <w:b/>
          <w:bCs/>
          <w:sz w:val="44"/>
          <w:lang w:val="fr-FR"/>
        </w:rPr>
        <w:t>’</w:t>
      </w:r>
      <w:r>
        <w:rPr>
          <w:rFonts w:ascii="Calibri"/>
          <w:b/>
          <w:bCs/>
          <w:sz w:val="44"/>
          <w:lang w:val="fr-FR"/>
        </w:rPr>
        <w:t>urgence du</w:t>
      </w:r>
      <w:r w:rsidR="00123FA1" w:rsidRPr="00AF6196">
        <w:rPr>
          <w:rFonts w:ascii="Calibri"/>
          <w:b/>
          <w:bCs/>
          <w:sz w:val="44"/>
          <w:lang w:val="es-ES"/>
        </w:rPr>
        <w:t> </w:t>
      </w:r>
      <w:r>
        <w:rPr>
          <w:rFonts w:ascii="Calibri"/>
          <w:b/>
          <w:bCs/>
          <w:sz w:val="44"/>
          <w:lang w:val="fr-FR"/>
        </w:rPr>
        <w:t>District</w:t>
      </w:r>
      <w:r>
        <w:rPr>
          <w:rFonts w:ascii="Calibri"/>
          <w:b/>
          <w:bCs/>
          <w:sz w:val="44"/>
          <w:lang w:val="fr-FR"/>
        </w:rPr>
        <w:t> </w:t>
      </w:r>
      <w:r>
        <w:rPr>
          <w:rFonts w:ascii="Calibri"/>
          <w:b/>
          <w:bCs/>
          <w:sz w:val="44"/>
          <w:lang w:val="fr-FR"/>
        </w:rPr>
        <w:t>de</w:t>
      </w:r>
      <w:r>
        <w:rPr>
          <w:rFonts w:ascii="Calibri"/>
          <w:b/>
          <w:bCs/>
          <w:sz w:val="44"/>
          <w:lang w:val="fr-FR"/>
        </w:rPr>
        <w:t> </w:t>
      </w:r>
      <w:r>
        <w:rPr>
          <w:rFonts w:ascii="Calibri"/>
          <w:b/>
          <w:bCs/>
          <w:sz w:val="44"/>
          <w:lang w:val="fr-FR"/>
        </w:rPr>
        <w:t>Columbia</w:t>
      </w:r>
    </w:p>
    <w:p w:rsidR="00EA1B65" w:rsidRPr="00C22817" w:rsidRDefault="00D53D94">
      <w:pPr>
        <w:tabs>
          <w:tab w:val="left" w:pos="10905"/>
        </w:tabs>
        <w:spacing w:before="113"/>
        <w:ind w:left="105"/>
        <w:rPr>
          <w:rFonts w:ascii="Garamond"/>
          <w:sz w:val="72"/>
          <w:lang w:val="fr-FR"/>
        </w:rPr>
      </w:pPr>
      <w:r>
        <w:rPr>
          <w:rFonts w:ascii="Garamond" w:hAnsi="Garamond"/>
          <w:color w:val="FFFFFF"/>
          <w:sz w:val="72"/>
          <w:shd w:val="clear" w:color="auto" w:fill="C00000"/>
          <w:lang w:val="fr-FR"/>
        </w:rPr>
        <w:t xml:space="preserve">  Sécurité contre les risques liés</w:t>
      </w:r>
      <w:r w:rsidR="00913D88">
        <w:rPr>
          <w:rFonts w:ascii="Garamond" w:eastAsiaTheme="minorEastAsia" w:hAnsi="Garamond" w:hint="eastAsia"/>
          <w:color w:val="FFFFFF"/>
          <w:sz w:val="72"/>
          <w:shd w:val="clear" w:color="auto" w:fill="C00000"/>
          <w:lang w:val="fr-FR" w:eastAsia="zh-CN"/>
        </w:rPr>
        <w:tab/>
      </w:r>
      <w:r w:rsidR="00913D88">
        <w:rPr>
          <w:rFonts w:ascii="Garamond" w:eastAsiaTheme="minorEastAsia" w:hAnsi="Garamond"/>
          <w:color w:val="FFFFFF"/>
          <w:sz w:val="72"/>
          <w:shd w:val="clear" w:color="auto" w:fill="C00000"/>
          <w:lang w:val="fr-FR" w:eastAsia="zh-CN"/>
        </w:rPr>
        <w:br/>
      </w:r>
      <w:r w:rsidR="00044866">
        <w:rPr>
          <w:rFonts w:ascii="Garamond" w:eastAsiaTheme="minorEastAsia" w:hAnsi="Garamond" w:hint="eastAsia"/>
          <w:color w:val="FFFFFF"/>
          <w:sz w:val="72"/>
          <w:shd w:val="clear" w:color="auto" w:fill="C00000"/>
          <w:lang w:val="fr-FR" w:eastAsia="zh-CN"/>
        </w:rPr>
        <w:t xml:space="preserve">  </w:t>
      </w:r>
      <w:r>
        <w:rPr>
          <w:rFonts w:ascii="Garamond" w:hAnsi="Garamond"/>
          <w:color w:val="FFFFFF"/>
          <w:sz w:val="72"/>
          <w:shd w:val="clear" w:color="auto" w:fill="C00000"/>
          <w:lang w:val="fr-FR"/>
        </w:rPr>
        <w:t>au</w:t>
      </w:r>
      <w:r w:rsidR="00CB6C8F">
        <w:rPr>
          <w:rFonts w:ascii="Garamond" w:hAnsi="Garamond"/>
          <w:color w:val="FFFFFF"/>
          <w:sz w:val="72"/>
          <w:shd w:val="clear" w:color="auto" w:fill="C00000"/>
          <w:lang w:val="fr-FR"/>
        </w:rPr>
        <w:t xml:space="preserve"> </w:t>
      </w:r>
      <w:r>
        <w:rPr>
          <w:rFonts w:ascii="Garamond" w:hAnsi="Garamond"/>
          <w:color w:val="FFFFFF"/>
          <w:sz w:val="72"/>
          <w:shd w:val="clear" w:color="auto" w:fill="C00000"/>
          <w:lang w:val="fr-FR"/>
        </w:rPr>
        <w:t>monoxyde de carbone</w:t>
      </w:r>
      <w:r>
        <w:rPr>
          <w:rFonts w:ascii="Garamond" w:hAnsi="Garamond"/>
          <w:color w:val="FFFFFF"/>
          <w:sz w:val="72"/>
          <w:shd w:val="clear" w:color="auto" w:fill="C00000"/>
          <w:lang w:val="fr-FR"/>
        </w:rPr>
        <w:tab/>
      </w:r>
    </w:p>
    <w:p w:rsidR="00EA1B65" w:rsidRPr="00C22817" w:rsidRDefault="009F3B72">
      <w:pPr>
        <w:pStyle w:val="a3"/>
        <w:spacing w:before="8"/>
        <w:rPr>
          <w:rFonts w:ascii="Garamond"/>
          <w:sz w:val="23"/>
          <w:lang w:val="fr-FR"/>
        </w:rPr>
      </w:pPr>
      <w:r>
        <w:rPr>
          <w:rFonts w:ascii="Garamond" w:hAnsi="Garamond"/>
          <w:sz w:val="22"/>
          <w:lang w:val="fr-FR"/>
        </w:rPr>
        <w:pict>
          <v:group id="_x0000_s1026" style="position:absolute;margin-left:40.3pt;margin-top:.4pt;width:162pt;height:593.1pt;z-index:1072;mso-position-horizontal-relative:page" coordorigin="806,1170" coordsize="3240,11862">
            <v:rect id="_x0000_s1029" style="position:absolute;left:806;top:1169;width:3240;height:11862" fillcolor="#ffc656" stroked="f"/>
            <v:shape id="_x0000_s1028" style="position:absolute;left:908;top:1441;width:3042;height:10600" coordorigin="908,1442" coordsize="3042,10600" path="m3443,1442r-2028,l1340,1447r-71,16l1201,1489r-62,34l1082,1566r-50,50l990,1672r-35,63l929,1802r-16,72l908,1949r,9586l913,11609r16,72l955,11748r35,63l1032,11867r50,50l1139,11960r62,34l1269,12020r71,16l1415,12042r2028,l3518,12036r71,-16l3657,11994r62,-34l3776,11917r50,-50l3868,11811r35,-63l3929,11681r16,-72l3950,11535r,-9586l3945,1874r-16,-72l3903,1735r-35,-63l3826,1616r-50,-50l3719,1523r-62,-34l3589,1463r-71,-16l3443,1442xe" fillcolor="#c0504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06;top:1169;width:3240;height:11862" filled="f" stroked="f">
              <v:textbox style="mso-next-textbox:#_x0000_s1027" inset="0,0,0,0">
                <w:txbxContent>
                  <w:p w:rsidR="00EA1B65" w:rsidRPr="00D53D94" w:rsidRDefault="00EA1B65">
                    <w:pPr>
                      <w:rPr>
                        <w:sz w:val="32"/>
                      </w:rPr>
                    </w:pPr>
                  </w:p>
                  <w:p w:rsidR="00EA1B65" w:rsidRPr="00D53D94" w:rsidRDefault="00EA1B65">
                    <w:pPr>
                      <w:rPr>
                        <w:sz w:val="32"/>
                      </w:rPr>
                    </w:pPr>
                  </w:p>
                  <w:p w:rsidR="00EA1B65" w:rsidRPr="00D53D94" w:rsidRDefault="00EA1B65">
                    <w:pPr>
                      <w:rPr>
                        <w:sz w:val="32"/>
                      </w:rPr>
                    </w:pPr>
                  </w:p>
                  <w:p w:rsidR="00EA1B65" w:rsidRPr="00D53D94" w:rsidRDefault="00EA1B65">
                    <w:pPr>
                      <w:spacing w:before="6"/>
                      <w:rPr>
                        <w:sz w:val="28"/>
                      </w:rPr>
                    </w:pPr>
                  </w:p>
                  <w:p w:rsidR="00EA1B65" w:rsidRPr="00C22817" w:rsidRDefault="00D53D94">
                    <w:pPr>
                      <w:spacing w:before="1"/>
                      <w:ind w:left="724" w:right="857"/>
                      <w:jc w:val="center"/>
                      <w:rPr>
                        <w:rFonts w:ascii="Calibri"/>
                        <w:b/>
                        <w:sz w:val="26"/>
                        <w:lang w:val="fr-FR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/>
                        <w:sz w:val="32"/>
                        <w:lang w:val="fr-FR"/>
                      </w:rPr>
                      <w:t>F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sz w:val="26"/>
                        <w:lang w:val="fr-FR"/>
                      </w:rPr>
                      <w:t>AITS</w:t>
                    </w:r>
                  </w:p>
                  <w:p w:rsidR="00EA1B65" w:rsidRPr="00C22817" w:rsidRDefault="00EA1B65">
                    <w:pPr>
                      <w:spacing w:before="2"/>
                      <w:rPr>
                        <w:sz w:val="28"/>
                        <w:lang w:val="fr-FR"/>
                      </w:rPr>
                    </w:pPr>
                  </w:p>
                  <w:p w:rsidR="00EA1B65" w:rsidRPr="00C22817" w:rsidRDefault="00D53D94">
                    <w:pPr>
                      <w:ind w:left="372" w:right="552"/>
                      <w:rPr>
                        <w:rFonts w:ascii="Calibri"/>
                        <w:sz w:val="24"/>
                        <w:lang w:val="fr-FR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Les appareils de</w:t>
                    </w:r>
                    <w:r w:rsidR="00AF6196" w:rsidRPr="00AF6196"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 </w:t>
                    </w:r>
                    <w:r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chauffage sont la</w:t>
                    </w:r>
                    <w:r w:rsidR="00AF6196" w:rsidRPr="00AF6196"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 </w:t>
                    </w:r>
                    <w:r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première cause d’incidents liés au monoxyde de carbone.</w:t>
                    </w:r>
                  </w:p>
                  <w:p w:rsidR="00EA1B65" w:rsidRPr="00C22817" w:rsidRDefault="00EA1B65">
                    <w:pPr>
                      <w:spacing w:before="5"/>
                      <w:rPr>
                        <w:sz w:val="25"/>
                        <w:lang w:val="fr-FR"/>
                      </w:rPr>
                    </w:pPr>
                  </w:p>
                  <w:p w:rsidR="00EA1B65" w:rsidRPr="00C22817" w:rsidRDefault="00D53D94">
                    <w:pPr>
                      <w:ind w:left="372" w:right="932"/>
                      <w:rPr>
                        <w:rFonts w:ascii="Calibri"/>
                        <w:sz w:val="24"/>
                        <w:lang w:val="fr-FR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La plupart des appels liés au monoxyde de carbone ont lieu entre 17h00 et</w:t>
                    </w:r>
                    <w:r w:rsidR="005E7A00">
                      <w:rPr>
                        <w:rFonts w:ascii="Calibri" w:hAnsi="Calibri"/>
                        <w:color w:val="FFFFFF"/>
                        <w:sz w:val="24"/>
                      </w:rPr>
                      <w:t> </w:t>
                    </w:r>
                    <w:r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10h00.</w:t>
                    </w:r>
                  </w:p>
                  <w:p w:rsidR="00EA1B65" w:rsidRPr="00C22817" w:rsidRDefault="00EA1B65">
                    <w:pPr>
                      <w:spacing w:before="5"/>
                      <w:rPr>
                        <w:sz w:val="25"/>
                        <w:lang w:val="fr-FR"/>
                      </w:rPr>
                    </w:pPr>
                  </w:p>
                  <w:p w:rsidR="00EA1B65" w:rsidRPr="00C22817" w:rsidRDefault="00D53D94">
                    <w:pPr>
                      <w:ind w:left="372" w:right="620"/>
                      <w:rPr>
                        <w:rFonts w:ascii="Calibri"/>
                        <w:sz w:val="24"/>
                        <w:lang w:val="fr-FR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97 % de tous les incidents liés au monoxyde de carbone se produisent dans des bâtiments résidentiels.</w:t>
                    </w:r>
                  </w:p>
                  <w:p w:rsidR="00EA1B65" w:rsidRPr="00C22817" w:rsidRDefault="00EA1B65">
                    <w:pPr>
                      <w:spacing w:before="5"/>
                      <w:rPr>
                        <w:sz w:val="25"/>
                        <w:lang w:val="fr-FR"/>
                      </w:rPr>
                    </w:pPr>
                  </w:p>
                  <w:p w:rsidR="00EA1B65" w:rsidRPr="00C22817" w:rsidRDefault="00D53D94">
                    <w:pPr>
                      <w:ind w:left="372" w:right="564"/>
                      <w:rPr>
                        <w:rFonts w:ascii="Calibri"/>
                        <w:sz w:val="24"/>
                        <w:lang w:val="fr-FR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Tous les détecteurs de</w:t>
                    </w:r>
                    <w:r w:rsidR="00AF6196" w:rsidRPr="008A6728">
                      <w:rPr>
                        <w:rFonts w:ascii="Calibri" w:hAnsi="Calibri"/>
                        <w:color w:val="FFFFFF"/>
                        <w:sz w:val="24"/>
                        <w:lang w:val="es-ES"/>
                      </w:rPr>
                      <w:t> </w:t>
                    </w:r>
                    <w:r>
                      <w:rPr>
                        <w:rFonts w:ascii="Calibri" w:hAnsi="Calibri"/>
                        <w:color w:val="FFFFFF"/>
                        <w:sz w:val="24"/>
                        <w:lang w:val="fr-FR"/>
                      </w:rPr>
                      <w:t>monoxyde de carbone doivent porter une étiquette de fabricant agréé, telle que la norme UL.</w:t>
                    </w:r>
                  </w:p>
                  <w:p w:rsidR="00EA1B65" w:rsidRDefault="00EA1B65">
                    <w:pPr>
                      <w:rPr>
                        <w:rFonts w:eastAsiaTheme="minorEastAsia"/>
                        <w:sz w:val="24"/>
                        <w:lang w:val="fr-FR" w:eastAsia="zh-CN"/>
                      </w:rPr>
                    </w:pPr>
                  </w:p>
                  <w:p w:rsidR="00B176D8" w:rsidRDefault="00B176D8">
                    <w:pPr>
                      <w:rPr>
                        <w:rFonts w:eastAsiaTheme="minorEastAsia"/>
                        <w:sz w:val="24"/>
                        <w:lang w:val="fr-FR" w:eastAsia="zh-CN"/>
                      </w:rPr>
                    </w:pPr>
                  </w:p>
                  <w:p w:rsidR="00B176D8" w:rsidRDefault="00B176D8">
                    <w:pPr>
                      <w:rPr>
                        <w:rFonts w:eastAsiaTheme="minorEastAsia"/>
                        <w:sz w:val="24"/>
                        <w:lang w:val="fr-FR" w:eastAsia="zh-CN"/>
                      </w:rPr>
                    </w:pPr>
                  </w:p>
                  <w:p w:rsidR="00B176D8" w:rsidRPr="00B176D8" w:rsidRDefault="00B176D8">
                    <w:pPr>
                      <w:rPr>
                        <w:rFonts w:eastAsiaTheme="minorEastAsia"/>
                        <w:sz w:val="24"/>
                        <w:lang w:val="fr-FR" w:eastAsia="zh-CN"/>
                      </w:rPr>
                    </w:pPr>
                  </w:p>
                  <w:p w:rsidR="00EA1B65" w:rsidRPr="00BB3309" w:rsidRDefault="00EA1B65">
                    <w:pPr>
                      <w:rPr>
                        <w:sz w:val="13"/>
                        <w:szCs w:val="11"/>
                        <w:lang w:val="fr-FR"/>
                      </w:rPr>
                    </w:pPr>
                  </w:p>
                  <w:p w:rsidR="00EA1B65" w:rsidRPr="00BB3309" w:rsidRDefault="00EA1B65">
                    <w:pPr>
                      <w:rPr>
                        <w:sz w:val="13"/>
                        <w:szCs w:val="11"/>
                        <w:lang w:val="fr-FR"/>
                      </w:rPr>
                    </w:pPr>
                  </w:p>
                  <w:p w:rsidR="00EA1B65" w:rsidRPr="0032544D" w:rsidRDefault="00D53D94">
                    <w:pPr>
                      <w:spacing w:before="182"/>
                      <w:ind w:left="725" w:right="857"/>
                      <w:jc w:val="center"/>
                      <w:rPr>
                        <w:b/>
                        <w:sz w:val="24"/>
                        <w:lang w:val="fr-FR"/>
                      </w:rPr>
                    </w:pPr>
                    <w:r>
                      <w:rPr>
                        <w:b/>
                        <w:bCs/>
                        <w:sz w:val="24"/>
                        <w:lang w:val="fr-FR"/>
                      </w:rPr>
                      <w:t>Gregory Dean</w:t>
                    </w:r>
                  </w:p>
                  <w:p w:rsidR="00EA1B65" w:rsidRPr="0032544D" w:rsidRDefault="00D53D94" w:rsidP="00BB3309">
                    <w:pPr>
                      <w:spacing w:before="3"/>
                      <w:ind w:left="283" w:right="283"/>
                      <w:jc w:val="center"/>
                      <w:rPr>
                        <w:i/>
                        <w:sz w:val="20"/>
                        <w:lang w:val="fr-FR"/>
                      </w:rPr>
                    </w:pPr>
                    <w:r>
                      <w:rPr>
                        <w:i/>
                        <w:iCs/>
                        <w:sz w:val="20"/>
                        <w:lang w:val="fr-FR"/>
                      </w:rPr>
                      <w:t xml:space="preserve">Capitaine du Département </w:t>
                    </w:r>
                    <w:r w:rsidR="0032544D">
                      <w:rPr>
                        <w:i/>
                        <w:iCs/>
                        <w:sz w:val="20"/>
                        <w:lang w:val="fr-FR"/>
                      </w:rPr>
                      <w:t xml:space="preserve">des Services d’incendie et </w:t>
                    </w:r>
                    <w:r w:rsidR="002D1178">
                      <w:rPr>
                        <w:i/>
                        <w:iCs/>
                        <w:sz w:val="20"/>
                        <w:lang w:val="fr-FR"/>
                      </w:rPr>
                      <w:t>EM</w:t>
                    </w:r>
                    <w:r w:rsidR="0032544D">
                      <w:rPr>
                        <w:i/>
                        <w:iCs/>
                        <w:sz w:val="20"/>
                        <w:lang w:val="fr-FR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D53D94">
        <w:rPr>
          <w:noProof/>
          <w:lang w:val="en-GB" w:eastAsia="zh-CN"/>
        </w:rPr>
        <w:drawing>
          <wp:anchor distT="0" distB="0" distL="0" distR="0" simplePos="0" relativeHeight="251659264" behindDoc="0" locked="0" layoutInCell="1" allowOverlap="1" wp14:anchorId="41833B66" wp14:editId="628A8AC6">
            <wp:simplePos x="0" y="0"/>
            <wp:positionH relativeFrom="page">
              <wp:posOffset>4448175</wp:posOffset>
            </wp:positionH>
            <wp:positionV relativeFrom="paragraph">
              <wp:posOffset>194608</wp:posOffset>
            </wp:positionV>
            <wp:extent cx="772708" cy="9326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08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B65" w:rsidRPr="00C22817" w:rsidRDefault="00D53D94" w:rsidP="00044866">
      <w:pPr>
        <w:spacing w:before="85"/>
        <w:ind w:left="3961"/>
        <w:jc w:val="center"/>
        <w:rPr>
          <w:b/>
          <w:lang w:val="fr-FR"/>
        </w:rPr>
      </w:pPr>
      <w:r>
        <w:rPr>
          <w:b/>
          <w:bCs/>
          <w:lang w:val="fr-FR"/>
        </w:rPr>
        <w:t>FAITS SUR LE MONOXYDE DE CARBONE QUI PEUVENT VOUS</w:t>
      </w:r>
      <w:r w:rsidR="00044866" w:rsidRPr="00044866">
        <w:rPr>
          <w:b/>
          <w:bCs/>
          <w:lang w:val="es-ES"/>
        </w:rPr>
        <w:t> </w:t>
      </w:r>
      <w:r>
        <w:rPr>
          <w:b/>
          <w:bCs/>
          <w:lang w:val="fr-FR"/>
        </w:rPr>
        <w:t>SAUVER LA VIE</w:t>
      </w:r>
    </w:p>
    <w:p w:rsidR="00EA1B65" w:rsidRPr="00C22817" w:rsidRDefault="00EA1B65">
      <w:pPr>
        <w:pStyle w:val="a3"/>
        <w:spacing w:before="5"/>
        <w:rPr>
          <w:b/>
          <w:sz w:val="19"/>
          <w:lang w:val="fr-FR"/>
        </w:rPr>
      </w:pPr>
    </w:p>
    <w:p w:rsidR="00EA1B65" w:rsidRPr="00C22817" w:rsidRDefault="00D53D94" w:rsidP="00044866">
      <w:pPr>
        <w:pStyle w:val="a3"/>
        <w:ind w:left="3676" w:right="220"/>
        <w:rPr>
          <w:lang w:val="fr-FR"/>
        </w:rPr>
      </w:pPr>
      <w:r>
        <w:rPr>
          <w:b/>
          <w:bCs/>
          <w:lang w:val="fr-FR"/>
        </w:rPr>
        <w:t>QU’EST-CE QUE LE MONOXYDE DE CARBONE ?</w:t>
      </w:r>
      <w:r w:rsidR="00591F85">
        <w:rPr>
          <w:b/>
          <w:bCs/>
          <w:lang w:val="fr-FR"/>
        </w:rPr>
        <w:t xml:space="preserve"> </w:t>
      </w:r>
      <w:r>
        <w:rPr>
          <w:lang w:val="fr-FR"/>
        </w:rPr>
        <w:t>C’est un gaz toxique incolore, inodore et sans saveur.</w:t>
      </w:r>
      <w:r w:rsidR="00591F85">
        <w:rPr>
          <w:lang w:val="fr-FR"/>
        </w:rPr>
        <w:t xml:space="preserve"> </w:t>
      </w:r>
      <w:r>
        <w:rPr>
          <w:lang w:val="fr-FR"/>
        </w:rPr>
        <w:t>Il est produit lorsque l’on brûle des combustibles courants tels que le bois, le charbon, le gaz naturel, l’essence, le propane, le fioul et le</w:t>
      </w:r>
      <w:r w:rsidR="00044866" w:rsidRPr="00044866">
        <w:rPr>
          <w:lang w:val="fr-FR"/>
        </w:rPr>
        <w:t> </w:t>
      </w:r>
      <w:r>
        <w:rPr>
          <w:lang w:val="fr-FR"/>
        </w:rPr>
        <w:t>méthane. Il est mesuré en PPM (parties par million). Une concentration supérieure à</w:t>
      </w:r>
      <w:r w:rsidR="00913D88" w:rsidRPr="00913D88">
        <w:rPr>
          <w:lang w:val="fr-FR"/>
        </w:rPr>
        <w:t> </w:t>
      </w:r>
      <w:r>
        <w:rPr>
          <w:lang w:val="fr-FR"/>
        </w:rPr>
        <w:t>8 ppm exige une attention.</w:t>
      </w:r>
    </w:p>
    <w:p w:rsidR="00EA1B65" w:rsidRPr="00C22817" w:rsidRDefault="00EA1B65">
      <w:pPr>
        <w:pStyle w:val="a3"/>
        <w:rPr>
          <w:lang w:val="fr-FR"/>
        </w:rPr>
      </w:pPr>
    </w:p>
    <w:p w:rsidR="00EA1B65" w:rsidRPr="00C22817" w:rsidRDefault="00D53D94" w:rsidP="00D53D94">
      <w:pPr>
        <w:pStyle w:val="a3"/>
        <w:spacing w:before="1" w:line="229" w:lineRule="exact"/>
        <w:ind w:left="3676"/>
        <w:rPr>
          <w:lang w:val="fr-FR"/>
        </w:rPr>
      </w:pPr>
      <w:r>
        <w:rPr>
          <w:b/>
          <w:bCs/>
          <w:lang w:val="fr-FR"/>
        </w:rPr>
        <w:t xml:space="preserve">SYMPTÔMES : </w:t>
      </w:r>
      <w:r>
        <w:rPr>
          <w:lang w:val="fr-FR"/>
        </w:rPr>
        <w:t>le monoxyde de carbone se fixe sur l’hémoglobine (globules rouges), réduisant le flux normal d’oxygène dans le sang et pouvant causer des symptômes semblables à ceux de la grippe.</w:t>
      </w:r>
    </w:p>
    <w:p w:rsidR="00EA1B65" w:rsidRPr="00C22817" w:rsidRDefault="00EA1B65">
      <w:pPr>
        <w:pStyle w:val="a3"/>
        <w:spacing w:before="1"/>
        <w:rPr>
          <w:lang w:val="fr-FR"/>
        </w:rPr>
      </w:pPr>
    </w:p>
    <w:p w:rsidR="00EA1B65" w:rsidRPr="00C22817" w:rsidRDefault="00D53D94">
      <w:pPr>
        <w:pStyle w:val="a3"/>
        <w:ind w:left="3676" w:right="270"/>
        <w:rPr>
          <w:lang w:val="fr-FR"/>
        </w:rPr>
      </w:pPr>
      <w:r>
        <w:rPr>
          <w:lang w:val="fr-FR"/>
        </w:rPr>
        <w:t xml:space="preserve">Premiers symptômes de niveau </w:t>
      </w:r>
      <w:r>
        <w:rPr>
          <w:b/>
          <w:bCs/>
          <w:lang w:val="fr-FR"/>
        </w:rPr>
        <w:t xml:space="preserve">FAIBLE </w:t>
      </w:r>
      <w:r>
        <w:rPr>
          <w:lang w:val="fr-FR"/>
        </w:rPr>
        <w:t xml:space="preserve">à </w:t>
      </w:r>
      <w:r>
        <w:rPr>
          <w:b/>
          <w:bCs/>
          <w:lang w:val="fr-FR"/>
        </w:rPr>
        <w:t>MODÉRÉ</w:t>
      </w:r>
      <w:r>
        <w:rPr>
          <w:lang w:val="fr-FR"/>
        </w:rPr>
        <w:t> : maux de tête, fatigue, essoufflement, nausées et étourdissements.</w:t>
      </w:r>
    </w:p>
    <w:p w:rsidR="00EA1B65" w:rsidRPr="00C22817" w:rsidRDefault="00EA1B65">
      <w:pPr>
        <w:pStyle w:val="a3"/>
        <w:spacing w:before="9"/>
        <w:rPr>
          <w:sz w:val="19"/>
          <w:lang w:val="fr-FR"/>
        </w:rPr>
      </w:pPr>
    </w:p>
    <w:p w:rsidR="00EA1B65" w:rsidRPr="00C22817" w:rsidRDefault="00D53D94">
      <w:pPr>
        <w:pStyle w:val="a3"/>
        <w:ind w:left="3676" w:right="270"/>
        <w:rPr>
          <w:lang w:val="fr-FR"/>
        </w:rPr>
      </w:pPr>
      <w:r>
        <w:rPr>
          <w:lang w:val="fr-FR"/>
        </w:rPr>
        <w:t xml:space="preserve">Symptômes de niveau </w:t>
      </w:r>
      <w:r>
        <w:rPr>
          <w:b/>
          <w:bCs/>
          <w:lang w:val="fr-FR"/>
        </w:rPr>
        <w:t>ÉLEVÉ</w:t>
      </w:r>
      <w:r>
        <w:rPr>
          <w:lang w:val="fr-FR"/>
        </w:rPr>
        <w:t> : altération de l’état mental, vomissements, perte de</w:t>
      </w:r>
      <w:r w:rsidR="00100393" w:rsidRPr="00B176D8">
        <w:rPr>
          <w:lang w:val="es-ES"/>
        </w:rPr>
        <w:t> </w:t>
      </w:r>
      <w:r>
        <w:rPr>
          <w:lang w:val="fr-FR"/>
        </w:rPr>
        <w:t>conscience et baisse de la coordination musculaire.</w:t>
      </w:r>
    </w:p>
    <w:p w:rsidR="00EA1B65" w:rsidRPr="00C22817" w:rsidRDefault="00EA1B65">
      <w:pPr>
        <w:pStyle w:val="a3"/>
        <w:rPr>
          <w:lang w:val="fr-FR"/>
        </w:rPr>
      </w:pPr>
    </w:p>
    <w:p w:rsidR="00EA1B65" w:rsidRPr="00C22817" w:rsidRDefault="00D53D94" w:rsidP="00913D88">
      <w:pPr>
        <w:spacing w:before="1"/>
        <w:ind w:left="3674" w:right="4762"/>
        <w:rPr>
          <w:b/>
          <w:sz w:val="20"/>
          <w:lang w:val="fr-FR"/>
        </w:rPr>
      </w:pPr>
      <w:r>
        <w:rPr>
          <w:sz w:val="20"/>
          <w:lang w:val="fr-FR"/>
        </w:rPr>
        <w:t xml:space="preserve">Le dernier stade est </w:t>
      </w:r>
      <w:r>
        <w:rPr>
          <w:b/>
          <w:bCs/>
          <w:sz w:val="20"/>
          <w:lang w:val="fr-FR"/>
        </w:rPr>
        <w:t>la mort</w:t>
      </w:r>
      <w:r>
        <w:rPr>
          <w:sz w:val="20"/>
          <w:lang w:val="fr-FR"/>
        </w:rPr>
        <w:t>.</w:t>
      </w:r>
    </w:p>
    <w:p w:rsidR="00EA1B65" w:rsidRPr="00C22817" w:rsidRDefault="00EA1B65">
      <w:pPr>
        <w:pStyle w:val="a3"/>
        <w:rPr>
          <w:b/>
          <w:lang w:val="fr-FR"/>
        </w:rPr>
      </w:pPr>
    </w:p>
    <w:p w:rsidR="00EA1B65" w:rsidRPr="00C22817" w:rsidRDefault="00D53D94">
      <w:pPr>
        <w:pStyle w:val="a3"/>
        <w:spacing w:before="1"/>
        <w:ind w:left="3676" w:right="270"/>
        <w:rPr>
          <w:lang w:val="fr-FR"/>
        </w:rPr>
      </w:pPr>
      <w:r>
        <w:rPr>
          <w:lang w:val="fr-FR"/>
        </w:rPr>
        <w:t>Si vous soupçonnez une fuite de monoxyde de carbone ou pensez avoir été exposé(e) au</w:t>
      </w:r>
      <w:r w:rsidR="00913D88" w:rsidRPr="00913D88">
        <w:rPr>
          <w:lang w:val="fr-FR"/>
        </w:rPr>
        <w:t> </w:t>
      </w:r>
      <w:r>
        <w:rPr>
          <w:lang w:val="fr-FR"/>
        </w:rPr>
        <w:t>monoxyde de carbone : sortez immédiatement à l’air libre ; ne retournez pas à</w:t>
      </w:r>
      <w:r w:rsidR="00BB3309" w:rsidRPr="00591F85">
        <w:rPr>
          <w:lang w:val="fr-FR"/>
        </w:rPr>
        <w:t> </w:t>
      </w:r>
      <w:r>
        <w:rPr>
          <w:lang w:val="fr-FR"/>
        </w:rPr>
        <w:t>l’intérieur pour trouver l’origine de la fuite ; appelez le 911 de chez un voisin ; appelez immédiatement un médecin.</w:t>
      </w:r>
    </w:p>
    <w:p w:rsidR="00EA1B65" w:rsidRPr="00C22817" w:rsidRDefault="00EA1B65">
      <w:pPr>
        <w:pStyle w:val="a3"/>
        <w:rPr>
          <w:lang w:val="fr-FR"/>
        </w:rPr>
      </w:pPr>
    </w:p>
    <w:p w:rsidR="00EA1B65" w:rsidRPr="00C22817" w:rsidRDefault="00D53D94" w:rsidP="00913D88">
      <w:pPr>
        <w:pStyle w:val="a3"/>
        <w:spacing w:before="1"/>
        <w:ind w:left="3676" w:right="624"/>
        <w:rPr>
          <w:lang w:val="fr-FR"/>
        </w:rPr>
      </w:pPr>
      <w:r>
        <w:rPr>
          <w:lang w:val="fr-FR"/>
        </w:rPr>
        <w:t xml:space="preserve">LA PRÉVENTION EST LE MEILLEUR MOYEN D’ÉVITER LES INCIDENTS : </w:t>
      </w:r>
      <w:r w:rsidR="00913D88">
        <w:rPr>
          <w:rFonts w:eastAsiaTheme="minorEastAsia" w:hint="eastAsia"/>
          <w:lang w:val="fr-FR" w:eastAsia="zh-CN"/>
        </w:rPr>
        <w:br/>
      </w:r>
      <w:r>
        <w:rPr>
          <w:lang w:val="fr-FR"/>
        </w:rPr>
        <w:t>À FAIRE</w:t>
      </w:r>
    </w:p>
    <w:p w:rsidR="00EA1B65" w:rsidRPr="00C22817" w:rsidRDefault="00D53D94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spacing w:line="228" w:lineRule="exact"/>
        <w:rPr>
          <w:sz w:val="20"/>
          <w:lang w:val="fr-FR"/>
        </w:rPr>
      </w:pPr>
      <w:r>
        <w:rPr>
          <w:sz w:val="20"/>
          <w:lang w:val="fr-FR"/>
        </w:rPr>
        <w:t>Installer des détecteurs de monoxyde de carbone.</w:t>
      </w:r>
    </w:p>
    <w:p w:rsidR="00EA1B65" w:rsidRPr="00C22817" w:rsidRDefault="00D53D94" w:rsidP="00913D88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right="105"/>
        <w:rPr>
          <w:sz w:val="20"/>
          <w:lang w:val="fr-FR"/>
        </w:rPr>
      </w:pPr>
      <w:r>
        <w:rPr>
          <w:sz w:val="20"/>
          <w:lang w:val="fr-FR"/>
        </w:rPr>
        <w:t>Toujours s’assurer que les appareils, comme les chaudières, chauffe-eau, cheminées et conduits d’évacuation, ne sont pas obstrués, en particulier en hiver.</w:t>
      </w:r>
    </w:p>
    <w:p w:rsidR="00EA1B65" w:rsidRPr="00C22817" w:rsidRDefault="00D53D94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rPr>
          <w:sz w:val="20"/>
          <w:lang w:val="fr-FR"/>
        </w:rPr>
      </w:pPr>
      <w:r>
        <w:rPr>
          <w:sz w:val="20"/>
          <w:lang w:val="fr-FR"/>
        </w:rPr>
        <w:t>Faire entretenir les appareils par un professionnel tous les ans.</w:t>
      </w:r>
    </w:p>
    <w:p w:rsidR="00EA1B65" w:rsidRPr="00C22817" w:rsidRDefault="00D53D94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right="375"/>
        <w:rPr>
          <w:sz w:val="20"/>
          <w:lang w:val="fr-FR"/>
        </w:rPr>
      </w:pPr>
      <w:r>
        <w:rPr>
          <w:sz w:val="20"/>
          <w:lang w:val="fr-FR"/>
        </w:rPr>
        <w:t>Installer des détecteurs de monoxyde de carbone à chaque niveau du logement, y compris dans les zones habitables telles que les couloirs à</w:t>
      </w:r>
      <w:r w:rsidR="006C16BD" w:rsidRPr="00BB3309">
        <w:rPr>
          <w:sz w:val="20"/>
          <w:lang w:val="fr-FR"/>
        </w:rPr>
        <w:t> </w:t>
      </w:r>
      <w:r>
        <w:rPr>
          <w:sz w:val="20"/>
          <w:lang w:val="fr-FR"/>
        </w:rPr>
        <w:t>l’extérieur des chambres et les sous-sols aménagés.</w:t>
      </w:r>
    </w:p>
    <w:p w:rsidR="00EA1B65" w:rsidRPr="00C22817" w:rsidRDefault="00D53D94" w:rsidP="00913D88">
      <w:pPr>
        <w:pStyle w:val="a4"/>
        <w:numPr>
          <w:ilvl w:val="0"/>
          <w:numId w:val="1"/>
        </w:numPr>
        <w:tabs>
          <w:tab w:val="left" w:pos="4403"/>
          <w:tab w:val="left" w:pos="4404"/>
        </w:tabs>
        <w:spacing w:line="229" w:lineRule="exact"/>
        <w:ind w:left="4403" w:rightChars="305" w:right="671" w:hanging="367"/>
        <w:rPr>
          <w:sz w:val="20"/>
          <w:lang w:val="fr-FR"/>
        </w:rPr>
      </w:pPr>
      <w:r>
        <w:rPr>
          <w:sz w:val="20"/>
          <w:lang w:val="fr-FR"/>
        </w:rPr>
        <w:t>Nettoyer et dégager régulièrement les SORTIES du sèche-linge, du poêle et de la cheminée.</w:t>
      </w:r>
    </w:p>
    <w:p w:rsidR="00EA1B65" w:rsidRPr="00C22817" w:rsidRDefault="00EA1B65">
      <w:pPr>
        <w:pStyle w:val="a3"/>
        <w:spacing w:before="1"/>
        <w:rPr>
          <w:lang w:val="fr-FR"/>
        </w:rPr>
      </w:pPr>
    </w:p>
    <w:p w:rsidR="00EA1B65" w:rsidRPr="00D53D94" w:rsidRDefault="00D53D94" w:rsidP="00913D88">
      <w:pPr>
        <w:pStyle w:val="a3"/>
        <w:pageBreakBefore/>
        <w:ind w:left="3674" w:right="5676"/>
        <w:jc w:val="center"/>
      </w:pPr>
      <w:r>
        <w:rPr>
          <w:lang w:val="fr-FR"/>
        </w:rPr>
        <w:lastRenderedPageBreak/>
        <w:t>À NE PAS FAIRE</w:t>
      </w:r>
    </w:p>
    <w:p w:rsidR="00EA1B65" w:rsidRPr="00C22817" w:rsidRDefault="00D53D94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right="462"/>
        <w:rPr>
          <w:sz w:val="20"/>
          <w:lang w:val="fr-FR"/>
        </w:rPr>
      </w:pPr>
      <w:r>
        <w:rPr>
          <w:b/>
          <w:bCs/>
          <w:sz w:val="20"/>
          <w:u w:val="single"/>
          <w:lang w:val="fr-FR"/>
        </w:rPr>
        <w:t>Ne pas</w:t>
      </w:r>
      <w:r>
        <w:rPr>
          <w:sz w:val="20"/>
          <w:lang w:val="fr-FR"/>
        </w:rPr>
        <w:t xml:space="preserve"> utiliser d’appareil fonctionnant au gaz dans un endroit fermé, comme le garage, ou à l’intérieur de la maison.</w:t>
      </w:r>
    </w:p>
    <w:p w:rsidR="00EA1B65" w:rsidRPr="00C22817" w:rsidRDefault="00D53D94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right="1051"/>
        <w:rPr>
          <w:sz w:val="20"/>
          <w:lang w:val="fr-FR"/>
        </w:rPr>
      </w:pPr>
      <w:r>
        <w:rPr>
          <w:b/>
          <w:bCs/>
          <w:sz w:val="20"/>
          <w:u w:val="single"/>
          <w:lang w:val="fr-FR"/>
        </w:rPr>
        <w:t>Ne pas</w:t>
      </w:r>
      <w:r>
        <w:rPr>
          <w:b/>
          <w:bCs/>
          <w:sz w:val="20"/>
          <w:lang w:val="fr-FR"/>
        </w:rPr>
        <w:t xml:space="preserve"> </w:t>
      </w:r>
      <w:r>
        <w:rPr>
          <w:sz w:val="20"/>
          <w:lang w:val="fr-FR"/>
        </w:rPr>
        <w:t>essayer de réparer un appareil de chauffage sans les connaissances nécessaires.</w:t>
      </w:r>
    </w:p>
    <w:p w:rsidR="00EA1B65" w:rsidRPr="00C22817" w:rsidRDefault="00D53D94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right="387"/>
        <w:rPr>
          <w:sz w:val="20"/>
          <w:lang w:val="fr-FR"/>
        </w:rPr>
      </w:pPr>
      <w:r>
        <w:rPr>
          <w:b/>
          <w:bCs/>
          <w:sz w:val="20"/>
          <w:u w:val="single"/>
          <w:lang w:val="fr-FR"/>
        </w:rPr>
        <w:t>Ne placer</w:t>
      </w:r>
      <w:r>
        <w:rPr>
          <w:sz w:val="20"/>
          <w:lang w:val="fr-FR"/>
        </w:rPr>
        <w:t xml:space="preserve"> AUCUN combustible près des appareils de chauffage, chauffe-eau et chaudières.</w:t>
      </w:r>
    </w:p>
    <w:p w:rsidR="00EA1B65" w:rsidRPr="00C22817" w:rsidRDefault="00D53D94" w:rsidP="00044866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spacing w:line="245" w:lineRule="auto"/>
        <w:ind w:left="4394" w:hanging="357"/>
        <w:rPr>
          <w:sz w:val="20"/>
          <w:lang w:val="fr-FR"/>
        </w:rPr>
      </w:pPr>
      <w:r>
        <w:rPr>
          <w:b/>
          <w:bCs/>
          <w:sz w:val="20"/>
          <w:u w:val="single"/>
          <w:lang w:val="fr-FR"/>
        </w:rPr>
        <w:t>Ne pas</w:t>
      </w:r>
      <w:r>
        <w:rPr>
          <w:b/>
          <w:bCs/>
          <w:sz w:val="20"/>
          <w:lang w:val="fr-FR"/>
        </w:rPr>
        <w:t xml:space="preserve"> </w:t>
      </w:r>
      <w:r>
        <w:rPr>
          <w:sz w:val="20"/>
          <w:lang w:val="fr-FR"/>
        </w:rPr>
        <w:t>utiliser un four à gaz pour chauffer le logement.</w:t>
      </w:r>
    </w:p>
    <w:p w:rsidR="00EA1B65" w:rsidRPr="00C22817" w:rsidRDefault="00D53D94" w:rsidP="00044866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spacing w:line="245" w:lineRule="auto"/>
        <w:ind w:left="4394" w:hanging="357"/>
        <w:rPr>
          <w:sz w:val="20"/>
          <w:lang w:val="fr-FR"/>
        </w:rPr>
      </w:pPr>
      <w:r>
        <w:rPr>
          <w:b/>
          <w:bCs/>
          <w:sz w:val="20"/>
          <w:u w:val="single"/>
          <w:lang w:val="fr-FR"/>
        </w:rPr>
        <w:t>Ne pas</w:t>
      </w:r>
      <w:r>
        <w:rPr>
          <w:b/>
          <w:bCs/>
          <w:sz w:val="20"/>
          <w:lang w:val="fr-FR"/>
        </w:rPr>
        <w:t xml:space="preserve"> </w:t>
      </w:r>
      <w:r>
        <w:rPr>
          <w:sz w:val="20"/>
          <w:lang w:val="fr-FR"/>
        </w:rPr>
        <w:t>laisser le moteur d’un véhicule tourner dans un garage attenant.</w:t>
      </w:r>
    </w:p>
    <w:p w:rsidR="00EA1B65" w:rsidRPr="00C22817" w:rsidRDefault="00D53D94" w:rsidP="00044866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spacing w:line="245" w:lineRule="auto"/>
        <w:ind w:left="4394" w:rightChars="112" w:right="246" w:hanging="357"/>
        <w:rPr>
          <w:sz w:val="20"/>
          <w:lang w:val="fr-FR"/>
        </w:rPr>
      </w:pPr>
      <w:r>
        <w:rPr>
          <w:b/>
          <w:bCs/>
          <w:sz w:val="20"/>
          <w:u w:val="single"/>
          <w:lang w:val="fr-FR"/>
        </w:rPr>
        <w:t>N’</w:t>
      </w:r>
      <w:r>
        <w:rPr>
          <w:sz w:val="20"/>
          <w:lang w:val="fr-FR"/>
        </w:rPr>
        <w:t>IGNORER aucun symptôme si l’on soupçonne une exposition au monoxyde de carbone.</w:t>
      </w:r>
    </w:p>
    <w:p w:rsidR="00EA1B65" w:rsidRPr="00C22817" w:rsidRDefault="00EA1B65">
      <w:pPr>
        <w:pStyle w:val="a3"/>
        <w:rPr>
          <w:lang w:val="fr-FR"/>
        </w:rPr>
      </w:pPr>
    </w:p>
    <w:p w:rsidR="00EA1B65" w:rsidRPr="00C22817" w:rsidRDefault="00EA1B65">
      <w:pPr>
        <w:pStyle w:val="a3"/>
        <w:rPr>
          <w:lang w:val="fr-FR"/>
        </w:rPr>
      </w:pPr>
    </w:p>
    <w:p w:rsidR="00EA1B65" w:rsidRPr="00C22817" w:rsidRDefault="00EA1B65">
      <w:pPr>
        <w:pStyle w:val="a3"/>
        <w:rPr>
          <w:lang w:val="fr-FR"/>
        </w:rPr>
      </w:pPr>
    </w:p>
    <w:p w:rsidR="00EA1B65" w:rsidRDefault="00EA1B65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Default="00913D88">
      <w:pPr>
        <w:pStyle w:val="a3"/>
        <w:rPr>
          <w:rFonts w:eastAsiaTheme="minorEastAsia"/>
          <w:lang w:val="fr-FR" w:eastAsia="zh-CN"/>
        </w:rPr>
      </w:pPr>
    </w:p>
    <w:p w:rsidR="00913D88" w:rsidRPr="00913D88" w:rsidRDefault="00913D88">
      <w:pPr>
        <w:pStyle w:val="a3"/>
        <w:rPr>
          <w:rFonts w:eastAsiaTheme="minorEastAsia"/>
          <w:lang w:val="fr-FR" w:eastAsia="zh-CN"/>
        </w:rPr>
      </w:pPr>
    </w:p>
    <w:p w:rsidR="00EA1B65" w:rsidRPr="00C22817" w:rsidRDefault="00EA1B65">
      <w:pPr>
        <w:pStyle w:val="a3"/>
        <w:rPr>
          <w:lang w:val="fr-FR"/>
        </w:rPr>
      </w:pPr>
    </w:p>
    <w:p w:rsidR="00EA1B65" w:rsidRPr="00C22817" w:rsidRDefault="00EA1B65">
      <w:pPr>
        <w:pStyle w:val="a3"/>
        <w:spacing w:before="2"/>
        <w:rPr>
          <w:sz w:val="16"/>
          <w:lang w:val="fr-FR"/>
        </w:rPr>
      </w:pPr>
    </w:p>
    <w:p w:rsidR="00EA1B65" w:rsidRPr="00D53D94" w:rsidRDefault="00D53D94">
      <w:pPr>
        <w:spacing w:before="94"/>
        <w:ind w:right="353"/>
        <w:jc w:val="right"/>
        <w:rPr>
          <w:sz w:val="16"/>
        </w:rPr>
      </w:pPr>
      <w:r>
        <w:rPr>
          <w:sz w:val="16"/>
          <w:lang w:val="fr-FR"/>
        </w:rPr>
        <w:t>Révision 05052015</w:t>
      </w:r>
    </w:p>
    <w:sectPr w:rsidR="00EA1B65" w:rsidRPr="00D53D94">
      <w:type w:val="continuous"/>
      <w:pgSz w:w="12240" w:h="15840"/>
      <w:pgMar w:top="440" w:right="52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72" w:rsidRDefault="009F3B72" w:rsidP="00C22817">
      <w:r>
        <w:separator/>
      </w:r>
    </w:p>
  </w:endnote>
  <w:endnote w:type="continuationSeparator" w:id="0">
    <w:p w:rsidR="009F3B72" w:rsidRDefault="009F3B72" w:rsidP="00C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72" w:rsidRDefault="009F3B72" w:rsidP="00C22817">
      <w:r>
        <w:separator/>
      </w:r>
    </w:p>
  </w:footnote>
  <w:footnote w:type="continuationSeparator" w:id="0">
    <w:p w:rsidR="009F3B72" w:rsidRDefault="009F3B72" w:rsidP="00C2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7720"/>
    <w:multiLevelType w:val="hybridMultilevel"/>
    <w:tmpl w:val="8AE03814"/>
    <w:lvl w:ilvl="0" w:tplc="E258036E">
      <w:numFmt w:val="bullet"/>
      <w:lvlText w:val="-"/>
      <w:lvlJc w:val="left"/>
      <w:pPr>
        <w:ind w:left="4396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CB6E806">
      <w:numFmt w:val="bullet"/>
      <w:lvlText w:val="•"/>
      <w:lvlJc w:val="left"/>
      <w:pPr>
        <w:ind w:left="5062" w:hanging="360"/>
      </w:pPr>
      <w:rPr>
        <w:rFonts w:hint="default"/>
      </w:rPr>
    </w:lvl>
    <w:lvl w:ilvl="2" w:tplc="CCE652A6">
      <w:numFmt w:val="bullet"/>
      <w:lvlText w:val="•"/>
      <w:lvlJc w:val="left"/>
      <w:pPr>
        <w:ind w:left="5724" w:hanging="360"/>
      </w:pPr>
      <w:rPr>
        <w:rFonts w:hint="default"/>
      </w:rPr>
    </w:lvl>
    <w:lvl w:ilvl="3" w:tplc="00DE9220">
      <w:numFmt w:val="bullet"/>
      <w:lvlText w:val="•"/>
      <w:lvlJc w:val="left"/>
      <w:pPr>
        <w:ind w:left="6386" w:hanging="360"/>
      </w:pPr>
      <w:rPr>
        <w:rFonts w:hint="default"/>
      </w:rPr>
    </w:lvl>
    <w:lvl w:ilvl="4" w:tplc="54B66368">
      <w:numFmt w:val="bullet"/>
      <w:lvlText w:val="•"/>
      <w:lvlJc w:val="left"/>
      <w:pPr>
        <w:ind w:left="7048" w:hanging="360"/>
      </w:pPr>
      <w:rPr>
        <w:rFonts w:hint="default"/>
      </w:rPr>
    </w:lvl>
    <w:lvl w:ilvl="5" w:tplc="26DAC2A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5734D3A2">
      <w:numFmt w:val="bullet"/>
      <w:lvlText w:val="•"/>
      <w:lvlJc w:val="left"/>
      <w:pPr>
        <w:ind w:left="8372" w:hanging="360"/>
      </w:pPr>
      <w:rPr>
        <w:rFonts w:hint="default"/>
      </w:rPr>
    </w:lvl>
    <w:lvl w:ilvl="7" w:tplc="A52AAF28">
      <w:numFmt w:val="bullet"/>
      <w:lvlText w:val="•"/>
      <w:lvlJc w:val="left"/>
      <w:pPr>
        <w:ind w:left="9034" w:hanging="360"/>
      </w:pPr>
      <w:rPr>
        <w:rFonts w:hint="default"/>
      </w:rPr>
    </w:lvl>
    <w:lvl w:ilvl="8" w:tplc="01D4A388">
      <w:numFmt w:val="bullet"/>
      <w:lvlText w:val="•"/>
      <w:lvlJc w:val="left"/>
      <w:pPr>
        <w:ind w:left="96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1B65"/>
    <w:rsid w:val="00044866"/>
    <w:rsid w:val="000C115F"/>
    <w:rsid w:val="00100393"/>
    <w:rsid w:val="00123FA1"/>
    <w:rsid w:val="00140664"/>
    <w:rsid w:val="00237F16"/>
    <w:rsid w:val="002D1178"/>
    <w:rsid w:val="0032544D"/>
    <w:rsid w:val="00363288"/>
    <w:rsid w:val="00591F85"/>
    <w:rsid w:val="005E7A00"/>
    <w:rsid w:val="005F4F8A"/>
    <w:rsid w:val="006C16BD"/>
    <w:rsid w:val="00717731"/>
    <w:rsid w:val="00752E6E"/>
    <w:rsid w:val="007A6E7F"/>
    <w:rsid w:val="008A6728"/>
    <w:rsid w:val="00913D88"/>
    <w:rsid w:val="009F3B72"/>
    <w:rsid w:val="00AF6196"/>
    <w:rsid w:val="00B176D8"/>
    <w:rsid w:val="00BB3309"/>
    <w:rsid w:val="00BB6061"/>
    <w:rsid w:val="00C22817"/>
    <w:rsid w:val="00C95E6A"/>
    <w:rsid w:val="00CB6C8F"/>
    <w:rsid w:val="00D45035"/>
    <w:rsid w:val="00D53D94"/>
    <w:rsid w:val="00D74466"/>
    <w:rsid w:val="00E834D9"/>
    <w:rsid w:val="00EA1B65"/>
    <w:rsid w:val="00EA57DD"/>
    <w:rsid w:val="00F20CD8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3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22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2817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28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2817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349</Words>
  <Characters>2167</Characters>
  <Application>Microsoft Office Word</Application>
  <DocSecurity>0</DocSecurity>
  <Lines>58</Lines>
  <Paragraphs>35</Paragraphs>
  <ScaleCrop>false</ScaleCrop>
  <Company>LLTS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MC SYSTEM</cp:lastModifiedBy>
  <cp:revision>22</cp:revision>
  <dcterms:created xsi:type="dcterms:W3CDTF">2017-05-03T09:18:00Z</dcterms:created>
  <dcterms:modified xsi:type="dcterms:W3CDTF">2017-05-26T10:27:00Z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