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94" w:rsidRDefault="001A7294">
      <w:pPr>
        <w:pStyle w:val="a3"/>
        <w:spacing w:before="2"/>
        <w:rPr>
          <w:rFonts w:ascii="Times New Roman"/>
          <w:sz w:val="10"/>
        </w:rPr>
      </w:pPr>
    </w:p>
    <w:p w:rsidR="001A7294" w:rsidRPr="00783650" w:rsidRDefault="003E2D8E" w:rsidP="00D827F5">
      <w:pPr>
        <w:spacing w:before="44"/>
        <w:ind w:left="2596" w:right="1863"/>
        <w:jc w:val="center"/>
        <w:rPr>
          <w:b/>
          <w:sz w:val="28"/>
          <w:lang w:val="es-ES"/>
        </w:rPr>
      </w:pPr>
      <w:r>
        <w:rPr>
          <w:noProof/>
          <w:lang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6570344</wp:posOffset>
            </wp:positionH>
            <wp:positionV relativeFrom="paragraph">
              <wp:posOffset>-71373</wp:posOffset>
            </wp:positionV>
            <wp:extent cx="557529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2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824230</wp:posOffset>
            </wp:positionH>
            <wp:positionV relativeFrom="paragraph">
              <wp:posOffset>-7873</wp:posOffset>
            </wp:positionV>
            <wp:extent cx="685165" cy="5403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650">
        <w:rPr>
          <w:b/>
          <w:bCs/>
          <w:sz w:val="28"/>
          <w:lang w:val="es-ES"/>
        </w:rPr>
        <w:t>GOBIERNO DEL DISTRITO DE COLUMBIA</w:t>
      </w:r>
    </w:p>
    <w:p w:rsidR="001A7294" w:rsidRPr="00783650" w:rsidRDefault="003E2D8E" w:rsidP="00D827F5">
      <w:pPr>
        <w:pStyle w:val="1"/>
        <w:ind w:left="2682" w:right="2017"/>
        <w:jc w:val="center"/>
        <w:rPr>
          <w:lang w:val="es-ES"/>
        </w:rPr>
      </w:pPr>
      <w:r w:rsidRPr="00783650">
        <w:rPr>
          <w:lang w:val="es-ES"/>
        </w:rPr>
        <w:t xml:space="preserve">Departamento de </w:t>
      </w:r>
      <w:r w:rsidR="00580FE8">
        <w:rPr>
          <w:lang w:val="es-ES"/>
        </w:rPr>
        <w:t xml:space="preserve">Bomberos y </w:t>
      </w:r>
      <w:r w:rsidRPr="00783650">
        <w:rPr>
          <w:lang w:val="es-ES"/>
        </w:rPr>
        <w:t>Servicios de Emergencia Médica del Distrito de Columbia</w:t>
      </w:r>
    </w:p>
    <w:p w:rsidR="001A7294" w:rsidRPr="00783650" w:rsidRDefault="001A7294">
      <w:pPr>
        <w:pStyle w:val="a3"/>
        <w:rPr>
          <w:b/>
          <w:sz w:val="20"/>
          <w:lang w:val="es-ES"/>
        </w:rPr>
      </w:pPr>
    </w:p>
    <w:p w:rsidR="001A7294" w:rsidRPr="00783650" w:rsidRDefault="001A7294">
      <w:pPr>
        <w:pStyle w:val="a3"/>
        <w:rPr>
          <w:b/>
          <w:sz w:val="20"/>
          <w:lang w:val="es-ES"/>
        </w:rPr>
      </w:pPr>
    </w:p>
    <w:p w:rsidR="001A7294" w:rsidRPr="00783650" w:rsidRDefault="001A7294">
      <w:pPr>
        <w:pStyle w:val="a3"/>
        <w:rPr>
          <w:b/>
          <w:sz w:val="20"/>
          <w:lang w:val="es-ES"/>
        </w:rPr>
      </w:pPr>
    </w:p>
    <w:p w:rsidR="001A7294" w:rsidRPr="00783650" w:rsidRDefault="003E2D8E">
      <w:pPr>
        <w:spacing w:before="171"/>
        <w:ind w:left="308"/>
        <w:rPr>
          <w:b/>
          <w:sz w:val="42"/>
          <w:lang w:val="es-ES"/>
        </w:rPr>
      </w:pPr>
      <w:r>
        <w:rPr>
          <w:noProof/>
          <w:lang w:eastAsia="zh-CN"/>
        </w:rPr>
        <w:drawing>
          <wp:anchor distT="0" distB="0" distL="144145" distR="0" simplePos="0" relativeHeight="1072" behindDoc="0" locked="0" layoutInCell="1" allowOverlap="1">
            <wp:simplePos x="0" y="0"/>
            <wp:positionH relativeFrom="page">
              <wp:posOffset>3824577</wp:posOffset>
            </wp:positionH>
            <wp:positionV relativeFrom="paragraph">
              <wp:posOffset>148645</wp:posOffset>
            </wp:positionV>
            <wp:extent cx="3304800" cy="1371445"/>
            <wp:effectExtent l="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137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650">
        <w:rPr>
          <w:b/>
          <w:bCs/>
          <w:color w:val="FF0000"/>
          <w:sz w:val="42"/>
          <w:lang w:val="es-ES"/>
        </w:rPr>
        <w:t>SEGURIDAD CONTRA INCENDIOS EN APARTAMENTOS</w:t>
      </w:r>
    </w:p>
    <w:p w:rsidR="001A7294" w:rsidRPr="00783650" w:rsidRDefault="001A7294">
      <w:pPr>
        <w:pStyle w:val="a3"/>
        <w:spacing w:before="8"/>
        <w:rPr>
          <w:b/>
          <w:sz w:val="19"/>
          <w:lang w:val="es-ES"/>
        </w:rPr>
      </w:pPr>
    </w:p>
    <w:p w:rsidR="001A7294" w:rsidRPr="00783650" w:rsidRDefault="003E2D8E" w:rsidP="00783650">
      <w:pPr>
        <w:pStyle w:val="a3"/>
        <w:spacing w:before="52" w:line="276" w:lineRule="auto"/>
        <w:ind w:left="207" w:right="200"/>
        <w:rPr>
          <w:lang w:val="es-ES"/>
        </w:rPr>
      </w:pPr>
      <w:r w:rsidRPr="00783650">
        <w:rPr>
          <w:lang w:val="es-ES"/>
        </w:rPr>
        <w:t>Los incendios en apartamentos han hecho que los ciudadanos estadounidenses se replantearan el tema de la seguridad contra incendios. Para aquellas personas que viven en apartamentos, una de las claves a la hora de tratar este tipo de seguridad es crear y practicar planes de escape ante un incendio, así como comportamientos de prevención.</w:t>
      </w:r>
      <w:r w:rsidR="00580FE8">
        <w:rPr>
          <w:lang w:val="es-ES"/>
        </w:rPr>
        <w:t xml:space="preserve"> </w:t>
      </w:r>
      <w:r w:rsidRPr="00783650">
        <w:rPr>
          <w:lang w:val="es-ES"/>
        </w:rPr>
        <w:t>Manténgase alerta a los riesgos de incendio que podrían ponerlos en peligro a usted, a su familia y a sus vecinos. Examine todas las salidas de emergencia para ver si funcionan correctamente, revise si los extintores para incendios están en buenas condiciones de</w:t>
      </w:r>
      <w:r w:rsidR="00783650" w:rsidRPr="00783650">
        <w:rPr>
          <w:lang w:val="es-ES"/>
        </w:rPr>
        <w:t> </w:t>
      </w:r>
      <w:r w:rsidRPr="00783650">
        <w:rPr>
          <w:lang w:val="es-ES"/>
        </w:rPr>
        <w:t xml:space="preserve">funcionamiento y si se han inspeccionado, y fíjese si las escaleras de evacuación en caso de incendio están despejadas. Estos son los aspectos que debe tener en cuenta. Muchos inquilinos de apartamentos no obtienen un seguro para </w:t>
      </w:r>
      <w:r w:rsidR="00580FE8">
        <w:rPr>
          <w:lang w:val="es-ES"/>
        </w:rPr>
        <w:t>arrendatarios</w:t>
      </w:r>
      <w:r w:rsidRPr="00783650">
        <w:rPr>
          <w:lang w:val="es-ES"/>
        </w:rPr>
        <w:t>. Esta es una necesidad, debido a que la mayoría de las pólizas de</w:t>
      </w:r>
      <w:r w:rsidR="00783650" w:rsidRPr="00783650">
        <w:rPr>
          <w:lang w:val="es-ES"/>
        </w:rPr>
        <w:t> </w:t>
      </w:r>
      <w:r w:rsidRPr="00783650">
        <w:rPr>
          <w:lang w:val="es-ES"/>
        </w:rPr>
        <w:t>seguro de los propietarios no cubren las pérdidas de bienes personales de los inquilinos.</w:t>
      </w:r>
    </w:p>
    <w:p w:rsidR="001A7294" w:rsidRPr="00783650" w:rsidRDefault="003E2D8E" w:rsidP="00783650">
      <w:pPr>
        <w:pStyle w:val="a3"/>
        <w:spacing w:before="199" w:line="278" w:lineRule="auto"/>
        <w:ind w:left="207" w:right="204"/>
        <w:rPr>
          <w:lang w:val="es-ES"/>
        </w:rPr>
      </w:pPr>
      <w:r w:rsidRPr="00783650">
        <w:rPr>
          <w:lang w:val="es-ES"/>
        </w:rPr>
        <w:t>Si ve algunas de estas condiciones inseguras en su apartamento, comuníquese de inmediato con la</w:t>
      </w:r>
      <w:r w:rsidR="00783650" w:rsidRPr="00783650">
        <w:rPr>
          <w:lang w:val="es-ES"/>
        </w:rPr>
        <w:t> </w:t>
      </w:r>
      <w:r w:rsidRPr="00783650">
        <w:rPr>
          <w:lang w:val="es-ES"/>
        </w:rPr>
        <w:t>inmobiliaria a cargo. Los residentes también deben informar si hay una infestación de roedores o</w:t>
      </w:r>
      <w:r w:rsidR="00783650" w:rsidRPr="006155B6">
        <w:rPr>
          <w:lang w:val="es-ES"/>
        </w:rPr>
        <w:t> </w:t>
      </w:r>
      <w:r w:rsidRPr="00783650">
        <w:rPr>
          <w:lang w:val="es-ES"/>
        </w:rPr>
        <w:t>de</w:t>
      </w:r>
      <w:r w:rsidR="00783650" w:rsidRPr="00783650">
        <w:rPr>
          <w:lang w:val="es-ES"/>
        </w:rPr>
        <w:t> </w:t>
      </w:r>
      <w:r w:rsidRPr="00783650">
        <w:rPr>
          <w:lang w:val="es-ES"/>
        </w:rPr>
        <w:t>cucarachas.</w:t>
      </w:r>
    </w:p>
    <w:p w:rsidR="001A7294" w:rsidRPr="00783650" w:rsidRDefault="003E2D8E" w:rsidP="00783650">
      <w:pPr>
        <w:spacing w:before="194"/>
        <w:ind w:left="207"/>
        <w:rPr>
          <w:b/>
          <w:i/>
          <w:sz w:val="24"/>
          <w:lang w:val="es-ES"/>
        </w:rPr>
      </w:pPr>
      <w:r w:rsidRPr="00783650">
        <w:rPr>
          <w:b/>
          <w:bCs/>
          <w:i/>
          <w:iCs/>
          <w:sz w:val="24"/>
          <w:lang w:val="es-ES"/>
        </w:rPr>
        <w:t>A continuación, se presenta una lista con los elementos que deben observarse para garantizar la</w:t>
      </w:r>
      <w:r w:rsidR="006155B6" w:rsidRPr="006155B6">
        <w:rPr>
          <w:b/>
          <w:bCs/>
          <w:i/>
          <w:iCs/>
          <w:sz w:val="24"/>
          <w:lang w:val="es-ES"/>
        </w:rPr>
        <w:t> </w:t>
      </w:r>
      <w:r w:rsidRPr="00783650">
        <w:rPr>
          <w:b/>
          <w:bCs/>
          <w:i/>
          <w:iCs/>
          <w:sz w:val="24"/>
          <w:lang w:val="es-ES"/>
        </w:rPr>
        <w:t>seguridad en el entorno de su apartamento:</w:t>
      </w:r>
    </w:p>
    <w:p w:rsidR="001A7294" w:rsidRPr="00783650" w:rsidRDefault="001A7294">
      <w:pPr>
        <w:pStyle w:val="a3"/>
        <w:spacing w:before="8"/>
        <w:rPr>
          <w:b/>
          <w:i/>
          <w:sz w:val="29"/>
          <w:lang w:val="es-E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4994"/>
      </w:tblGrid>
      <w:tr w:rsidR="001A7294" w:rsidTr="006F59C0">
        <w:trPr>
          <w:trHeight w:val="420"/>
          <w:tblHeader/>
        </w:trPr>
        <w:tc>
          <w:tcPr>
            <w:tcW w:w="5429" w:type="dxa"/>
            <w:tcBorders>
              <w:right w:val="single" w:sz="24" w:space="0" w:color="FFFFFF"/>
            </w:tcBorders>
            <w:shd w:val="clear" w:color="auto" w:fill="FF0000"/>
          </w:tcPr>
          <w:p w:rsidR="001A7294" w:rsidRDefault="003E2D8E" w:rsidP="006155B6">
            <w:pPr>
              <w:pStyle w:val="TableParagraph"/>
              <w:spacing w:before="74"/>
              <w:ind w:left="0" w:right="0"/>
              <w:rPr>
                <w:b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Elementos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en el exterior</w:t>
            </w:r>
          </w:p>
        </w:tc>
        <w:tc>
          <w:tcPr>
            <w:tcW w:w="4994" w:type="dxa"/>
            <w:tcBorders>
              <w:left w:val="single" w:sz="24" w:space="0" w:color="FFFFFF"/>
            </w:tcBorders>
            <w:shd w:val="clear" w:color="auto" w:fill="FF0000"/>
          </w:tcPr>
          <w:p w:rsidR="001A7294" w:rsidRDefault="003E2D8E" w:rsidP="006155B6">
            <w:pPr>
              <w:pStyle w:val="TableParagraph"/>
              <w:spacing w:before="74"/>
              <w:ind w:left="0" w:right="0"/>
              <w:rPr>
                <w:b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Elementos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en el interior</w:t>
            </w:r>
          </w:p>
        </w:tc>
      </w:tr>
      <w:tr w:rsidR="001A7294" w:rsidRPr="005F19B4" w:rsidTr="00135F73">
        <w:trPr>
          <w:trHeight w:val="20"/>
        </w:trPr>
        <w:tc>
          <w:tcPr>
            <w:tcW w:w="5429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Puertas rotas o vidrios rotos en las puertas</w:t>
            </w:r>
          </w:p>
        </w:tc>
        <w:tc>
          <w:tcPr>
            <w:tcW w:w="4994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Detectores de humo que no funcionan</w:t>
            </w:r>
          </w:p>
        </w:tc>
      </w:tr>
      <w:tr w:rsidR="001A7294" w:rsidRPr="005F19B4" w:rsidTr="00135F73">
        <w:trPr>
          <w:trHeight w:val="20"/>
        </w:trPr>
        <w:tc>
          <w:tcPr>
            <w:tcW w:w="5429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Falta o rotura de pasamanos</w:t>
            </w:r>
          </w:p>
        </w:tc>
        <w:tc>
          <w:tcPr>
            <w:tcW w:w="4994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Unidades de calefacción/aire acondicionado que no funcionan</w:t>
            </w:r>
          </w:p>
        </w:tc>
      </w:tr>
      <w:tr w:rsidR="001A7294" w:rsidTr="00135F73">
        <w:trPr>
          <w:trHeight w:val="20"/>
        </w:trPr>
        <w:tc>
          <w:tcPr>
            <w:tcW w:w="5429" w:type="dxa"/>
          </w:tcPr>
          <w:p w:rsidR="001A7294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Escalones</w:t>
            </w:r>
            <w:proofErr w:type="spellEnd"/>
            <w:r w:rsidR="00580FE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rotos</w:t>
            </w:r>
            <w:proofErr w:type="spellEnd"/>
          </w:p>
        </w:tc>
        <w:tc>
          <w:tcPr>
            <w:tcW w:w="4994" w:type="dxa"/>
          </w:tcPr>
          <w:p w:rsidR="001A7294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Extractores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 xml:space="preserve"> no </w:t>
            </w:r>
            <w:proofErr w:type="spellStart"/>
            <w:r>
              <w:rPr>
                <w:sz w:val="24"/>
              </w:rPr>
              <w:t>funcionan</w:t>
            </w:r>
            <w:proofErr w:type="spellEnd"/>
          </w:p>
        </w:tc>
      </w:tr>
      <w:tr w:rsidR="001A7294" w:rsidTr="00135F73">
        <w:trPr>
          <w:trHeight w:val="20"/>
        </w:trPr>
        <w:tc>
          <w:tcPr>
            <w:tcW w:w="5429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Sistemas de seguridad y de alarma que no</w:t>
            </w:r>
            <w:r w:rsidR="003F368C" w:rsidRPr="003F368C">
              <w:rPr>
                <w:sz w:val="24"/>
                <w:lang w:val="es-ES"/>
              </w:rPr>
              <w:t> </w:t>
            </w:r>
            <w:r w:rsidRPr="00783650">
              <w:rPr>
                <w:sz w:val="24"/>
                <w:lang w:val="es-ES"/>
              </w:rPr>
              <w:t>funcionan</w:t>
            </w:r>
          </w:p>
        </w:tc>
        <w:tc>
          <w:tcPr>
            <w:tcW w:w="4994" w:type="dxa"/>
          </w:tcPr>
          <w:p w:rsidR="001A7294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Puertas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ventanas</w:t>
            </w:r>
            <w:proofErr w:type="spellEnd"/>
            <w:r w:rsidR="0011648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desviadas</w:t>
            </w:r>
            <w:proofErr w:type="spellEnd"/>
          </w:p>
        </w:tc>
      </w:tr>
      <w:tr w:rsidR="001A7294" w:rsidRPr="005F19B4" w:rsidTr="00135F73">
        <w:trPr>
          <w:trHeight w:val="20"/>
        </w:trPr>
        <w:tc>
          <w:tcPr>
            <w:tcW w:w="5429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Generadores cubiertos o asegurados incorrectamente</w:t>
            </w:r>
          </w:p>
        </w:tc>
        <w:tc>
          <w:tcPr>
            <w:tcW w:w="4994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Puertas y perillas faltantes o rotas</w:t>
            </w:r>
          </w:p>
        </w:tc>
      </w:tr>
      <w:tr w:rsidR="001A7294" w:rsidRPr="005F19B4" w:rsidTr="00135F73">
        <w:trPr>
          <w:trHeight w:val="20"/>
        </w:trPr>
        <w:tc>
          <w:tcPr>
            <w:tcW w:w="5429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Acumulación de residuos en el edificio</w:t>
            </w:r>
          </w:p>
        </w:tc>
        <w:tc>
          <w:tcPr>
            <w:tcW w:w="4994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Falta de tapas para tomacorrientes/interruptores de luz</w:t>
            </w:r>
          </w:p>
        </w:tc>
      </w:tr>
      <w:tr w:rsidR="001A7294" w:rsidRPr="005F19B4" w:rsidTr="00135F73">
        <w:trPr>
          <w:trHeight w:val="20"/>
        </w:trPr>
        <w:tc>
          <w:tcPr>
            <w:tcW w:w="5429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Cableado expuesto de cualquier tipo</w:t>
            </w:r>
          </w:p>
        </w:tc>
        <w:tc>
          <w:tcPr>
            <w:tcW w:w="4994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Falta de baldosas o baldosas rotas en</w:t>
            </w:r>
            <w:r w:rsidR="003F368C" w:rsidRPr="003F368C">
              <w:rPr>
                <w:sz w:val="24"/>
                <w:lang w:val="es-ES"/>
              </w:rPr>
              <w:t> </w:t>
            </w:r>
            <w:r w:rsidRPr="00783650">
              <w:rPr>
                <w:sz w:val="24"/>
                <w:lang w:val="es-ES"/>
              </w:rPr>
              <w:t>los pisos</w:t>
            </w:r>
          </w:p>
        </w:tc>
      </w:tr>
      <w:tr w:rsidR="001A7294" w:rsidTr="00135F73">
        <w:trPr>
          <w:trHeight w:val="20"/>
        </w:trPr>
        <w:tc>
          <w:tcPr>
            <w:tcW w:w="5429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lastRenderedPageBreak/>
              <w:t>Extintores de incendio que no funcionan</w:t>
            </w:r>
          </w:p>
        </w:tc>
        <w:tc>
          <w:tcPr>
            <w:tcW w:w="4994" w:type="dxa"/>
          </w:tcPr>
          <w:p w:rsidR="001A7294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Uso</w:t>
            </w:r>
            <w:proofErr w:type="spellEnd"/>
            <w:r w:rsidR="0011648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incorrecto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calefactores</w:t>
            </w:r>
            <w:proofErr w:type="spellEnd"/>
          </w:p>
        </w:tc>
      </w:tr>
      <w:tr w:rsidR="001A7294" w:rsidRPr="005F19B4" w:rsidTr="00135F73">
        <w:trPr>
          <w:trHeight w:val="20"/>
        </w:trPr>
        <w:tc>
          <w:tcPr>
            <w:tcW w:w="5429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Fusibles e interruptores que no funcio</w:t>
            </w:r>
            <w:bookmarkStart w:id="0" w:name="_GoBack"/>
            <w:bookmarkEnd w:id="0"/>
            <w:r w:rsidRPr="00783650">
              <w:rPr>
                <w:sz w:val="24"/>
                <w:lang w:val="es-ES"/>
              </w:rPr>
              <w:t>nan</w:t>
            </w:r>
          </w:p>
        </w:tc>
        <w:tc>
          <w:tcPr>
            <w:tcW w:w="4994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Uso incorrecto de mantas/almohadillas eléctricas</w:t>
            </w:r>
          </w:p>
        </w:tc>
      </w:tr>
      <w:tr w:rsidR="001A7294" w:rsidTr="00135F73">
        <w:trPr>
          <w:trHeight w:val="20"/>
        </w:trPr>
        <w:tc>
          <w:tcPr>
            <w:tcW w:w="5429" w:type="dxa"/>
          </w:tcPr>
          <w:p w:rsidR="001A7294" w:rsidRPr="00783650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Emisión de monóxido de carbono o fuga de</w:t>
            </w:r>
            <w:r w:rsidR="003F368C" w:rsidRPr="00F47751">
              <w:rPr>
                <w:sz w:val="24"/>
                <w:lang w:val="es-ES"/>
              </w:rPr>
              <w:t> </w:t>
            </w:r>
            <w:r w:rsidRPr="00783650">
              <w:rPr>
                <w:sz w:val="24"/>
                <w:lang w:val="es-ES"/>
              </w:rPr>
              <w:t>gases</w:t>
            </w:r>
          </w:p>
        </w:tc>
        <w:tc>
          <w:tcPr>
            <w:tcW w:w="4994" w:type="dxa"/>
          </w:tcPr>
          <w:p w:rsidR="001A7294" w:rsidRDefault="003E2D8E" w:rsidP="00135F73">
            <w:pPr>
              <w:pStyle w:val="TableParagraph"/>
              <w:spacing w:before="0" w:afterLines="50" w:after="120"/>
              <w:ind w:left="170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Dispositivos</w:t>
            </w:r>
            <w:proofErr w:type="spellEnd"/>
            <w:r w:rsidR="0011648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electrónicos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fallas</w:t>
            </w:r>
            <w:proofErr w:type="spellEnd"/>
          </w:p>
        </w:tc>
      </w:tr>
      <w:tr w:rsidR="001A7294" w:rsidRPr="005F19B4" w:rsidTr="00135F73">
        <w:trPr>
          <w:trHeight w:val="20"/>
        </w:trPr>
        <w:tc>
          <w:tcPr>
            <w:tcW w:w="5429" w:type="dxa"/>
          </w:tcPr>
          <w:p w:rsidR="001A7294" w:rsidRPr="00783650" w:rsidRDefault="003E2D8E" w:rsidP="00135F73">
            <w:pPr>
              <w:pStyle w:val="TableParagraph"/>
              <w:spacing w:before="0" w:afterLines="50" w:after="120" w:line="269" w:lineRule="exact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Señales de salida y luces de emergencia que no funcionan</w:t>
            </w:r>
          </w:p>
        </w:tc>
        <w:tc>
          <w:tcPr>
            <w:tcW w:w="4994" w:type="dxa"/>
          </w:tcPr>
          <w:p w:rsidR="001A7294" w:rsidRPr="00783650" w:rsidRDefault="003E2D8E" w:rsidP="00135F73">
            <w:pPr>
              <w:pStyle w:val="TableParagraph"/>
              <w:spacing w:before="0" w:afterLines="50" w:after="120" w:line="269" w:lineRule="exact"/>
              <w:ind w:left="170" w:right="170"/>
              <w:rPr>
                <w:sz w:val="24"/>
                <w:lang w:val="es-ES"/>
              </w:rPr>
            </w:pPr>
            <w:r w:rsidRPr="00783650">
              <w:rPr>
                <w:sz w:val="24"/>
                <w:lang w:val="es-ES"/>
              </w:rPr>
              <w:t>Cerillas y encendedores al alcance de</w:t>
            </w:r>
            <w:r w:rsidR="00D6432B" w:rsidRPr="003F368C">
              <w:rPr>
                <w:sz w:val="24"/>
                <w:lang w:val="es-ES"/>
              </w:rPr>
              <w:t> </w:t>
            </w:r>
            <w:r w:rsidRPr="00783650">
              <w:rPr>
                <w:sz w:val="24"/>
                <w:lang w:val="es-ES"/>
              </w:rPr>
              <w:t>los niños</w:t>
            </w:r>
          </w:p>
        </w:tc>
      </w:tr>
    </w:tbl>
    <w:p w:rsidR="001A7294" w:rsidRPr="00783650" w:rsidRDefault="001A7294">
      <w:pPr>
        <w:pStyle w:val="a3"/>
        <w:rPr>
          <w:b/>
          <w:i/>
          <w:lang w:val="es-ES"/>
        </w:rPr>
      </w:pPr>
    </w:p>
    <w:p w:rsidR="001A7294" w:rsidRPr="00783650" w:rsidRDefault="001A7294">
      <w:pPr>
        <w:pStyle w:val="a3"/>
        <w:spacing w:before="1"/>
        <w:rPr>
          <w:b/>
          <w:i/>
          <w:sz w:val="22"/>
          <w:lang w:val="es-ES"/>
        </w:rPr>
      </w:pPr>
    </w:p>
    <w:p w:rsidR="001A7294" w:rsidRPr="00783650" w:rsidRDefault="003E2D8E">
      <w:pPr>
        <w:pStyle w:val="1"/>
        <w:spacing w:before="1" w:line="293" w:lineRule="exact"/>
        <w:ind w:right="353"/>
        <w:jc w:val="center"/>
        <w:rPr>
          <w:lang w:val="es-ES"/>
        </w:rPr>
      </w:pPr>
      <w:r w:rsidRPr="00783650">
        <w:rPr>
          <w:color w:val="FF0000"/>
          <w:lang w:val="es-ES"/>
        </w:rPr>
        <w:t xml:space="preserve">¡Siga al Departamento de </w:t>
      </w:r>
      <w:r w:rsidR="0011648B" w:rsidRPr="00783650">
        <w:rPr>
          <w:color w:val="FF0000"/>
          <w:lang w:val="es-ES"/>
        </w:rPr>
        <w:t xml:space="preserve">Bomberos </w:t>
      </w:r>
      <w:r w:rsidR="0011648B">
        <w:rPr>
          <w:color w:val="FF0000"/>
          <w:lang w:val="es-ES"/>
        </w:rPr>
        <w:t xml:space="preserve">y </w:t>
      </w:r>
      <w:r w:rsidRPr="00783650">
        <w:rPr>
          <w:color w:val="FF0000"/>
          <w:lang w:val="es-ES"/>
        </w:rPr>
        <w:t>Servicios de Emergencia Médica</w:t>
      </w:r>
      <w:r w:rsidR="0011648B">
        <w:rPr>
          <w:color w:val="FF0000"/>
          <w:lang w:val="es-ES"/>
        </w:rPr>
        <w:t xml:space="preserve"> </w:t>
      </w:r>
      <w:r w:rsidRPr="00783650">
        <w:rPr>
          <w:color w:val="FF0000"/>
          <w:lang w:val="es-ES"/>
        </w:rPr>
        <w:t>del Distrito de Columbia en</w:t>
      </w:r>
      <w:r w:rsidR="00C7059C" w:rsidRPr="00C7059C">
        <w:rPr>
          <w:color w:val="FF0000"/>
          <w:lang w:val="es-ES"/>
        </w:rPr>
        <w:t> </w:t>
      </w:r>
      <w:r w:rsidRPr="00783650">
        <w:rPr>
          <w:color w:val="FF0000"/>
          <w:lang w:val="es-ES"/>
        </w:rPr>
        <w:t>Facebook y en Twitter!</w:t>
      </w:r>
    </w:p>
    <w:p w:rsidR="001A7294" w:rsidRPr="009654EC" w:rsidRDefault="003E2D8E">
      <w:pPr>
        <w:spacing w:line="219" w:lineRule="exact"/>
        <w:ind w:left="354" w:right="356"/>
        <w:jc w:val="center"/>
        <w:rPr>
          <w:sz w:val="18"/>
          <w:lang w:val="es-AR"/>
        </w:rPr>
      </w:pPr>
      <w:r w:rsidRPr="00783650">
        <w:rPr>
          <w:sz w:val="18"/>
          <w:lang w:val="es-ES"/>
        </w:rPr>
        <w:t xml:space="preserve">Siga al Departamento de </w:t>
      </w:r>
      <w:r w:rsidR="0011648B" w:rsidRPr="00783650">
        <w:rPr>
          <w:sz w:val="18"/>
          <w:lang w:val="es-ES"/>
        </w:rPr>
        <w:t xml:space="preserve">Bomberos </w:t>
      </w:r>
      <w:r w:rsidR="0011648B">
        <w:rPr>
          <w:sz w:val="18"/>
          <w:lang w:val="es-ES"/>
        </w:rPr>
        <w:t xml:space="preserve">y </w:t>
      </w:r>
      <w:r w:rsidRPr="00783650">
        <w:rPr>
          <w:sz w:val="18"/>
          <w:lang w:val="es-ES"/>
        </w:rPr>
        <w:t xml:space="preserve">Servicios de Emergencia Médica en Twitter, en </w:t>
      </w:r>
      <w:hyperlink r:id="rId10">
        <w:r w:rsidRPr="00783650">
          <w:rPr>
            <w:color w:val="0000FF"/>
            <w:sz w:val="18"/>
            <w:u w:val="single"/>
            <w:lang w:val="es-ES"/>
          </w:rPr>
          <w:t>http://www.twitter.com/dcfireems</w:t>
        </w:r>
      </w:hyperlink>
      <w:r w:rsidR="00B66B66" w:rsidRPr="009654EC">
        <w:rPr>
          <w:lang w:val="es-AR"/>
        </w:rPr>
        <w:t xml:space="preserve"> </w:t>
      </w:r>
      <w:r w:rsidRPr="00783650">
        <w:rPr>
          <w:sz w:val="18"/>
          <w:lang w:val="es-ES"/>
        </w:rPr>
        <w:t>y</w:t>
      </w:r>
      <w:r w:rsidR="0061770C" w:rsidRPr="000C7FEB">
        <w:rPr>
          <w:sz w:val="18"/>
          <w:lang w:val="es-ES"/>
        </w:rPr>
        <w:t> </w:t>
      </w:r>
      <w:r w:rsidRPr="00783650">
        <w:rPr>
          <w:sz w:val="18"/>
          <w:lang w:val="es-ES"/>
        </w:rPr>
        <w:t>en</w:t>
      </w:r>
      <w:r w:rsidR="0061770C" w:rsidRPr="0061770C">
        <w:rPr>
          <w:sz w:val="18"/>
          <w:lang w:val="es-ES"/>
        </w:rPr>
        <w:t> </w:t>
      </w:r>
      <w:r w:rsidRPr="00783650">
        <w:rPr>
          <w:sz w:val="18"/>
          <w:lang w:val="es-ES"/>
        </w:rPr>
        <w:t xml:space="preserve">Facebook, en </w:t>
      </w:r>
      <w:hyperlink r:id="rId11">
        <w:r w:rsidRPr="00783650">
          <w:rPr>
            <w:color w:val="0000FF"/>
            <w:sz w:val="18"/>
            <w:u w:val="single"/>
            <w:lang w:val="es-ES"/>
          </w:rPr>
          <w:t>http://www.facebook.com/dcfireandems</w:t>
        </w:r>
      </w:hyperlink>
      <w:r w:rsidR="00B66B66" w:rsidRPr="003C739D">
        <w:rPr>
          <w:sz w:val="18"/>
          <w:szCs w:val="18"/>
          <w:lang w:val="es-AR"/>
        </w:rPr>
        <w:t>.</w:t>
      </w:r>
    </w:p>
    <w:sectPr w:rsidR="001A7294" w:rsidRPr="009654EC" w:rsidSect="00A40055">
      <w:type w:val="continuous"/>
      <w:pgSz w:w="12240" w:h="15840"/>
      <w:pgMar w:top="88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42" w:rsidRDefault="005B3C42" w:rsidP="00783650">
      <w:r>
        <w:separator/>
      </w:r>
    </w:p>
  </w:endnote>
  <w:endnote w:type="continuationSeparator" w:id="0">
    <w:p w:rsidR="005B3C42" w:rsidRDefault="005B3C42" w:rsidP="0078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42" w:rsidRDefault="005B3C42" w:rsidP="00783650">
      <w:r>
        <w:separator/>
      </w:r>
    </w:p>
  </w:footnote>
  <w:footnote w:type="continuationSeparator" w:id="0">
    <w:p w:rsidR="005B3C42" w:rsidRDefault="005B3C42" w:rsidP="0078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A7294"/>
    <w:rsid w:val="000B71A6"/>
    <w:rsid w:val="000C7FEB"/>
    <w:rsid w:val="0011648B"/>
    <w:rsid w:val="00135F73"/>
    <w:rsid w:val="0018352A"/>
    <w:rsid w:val="001A7294"/>
    <w:rsid w:val="00252CD7"/>
    <w:rsid w:val="00275D3D"/>
    <w:rsid w:val="002F1255"/>
    <w:rsid w:val="003776FD"/>
    <w:rsid w:val="003C739D"/>
    <w:rsid w:val="003E2D8E"/>
    <w:rsid w:val="003F368C"/>
    <w:rsid w:val="00541937"/>
    <w:rsid w:val="00580FE8"/>
    <w:rsid w:val="005B3C42"/>
    <w:rsid w:val="005F19B4"/>
    <w:rsid w:val="00601884"/>
    <w:rsid w:val="006155B6"/>
    <w:rsid w:val="0061770C"/>
    <w:rsid w:val="006F59C0"/>
    <w:rsid w:val="007775DC"/>
    <w:rsid w:val="00783650"/>
    <w:rsid w:val="00845B8C"/>
    <w:rsid w:val="009654EC"/>
    <w:rsid w:val="00A40055"/>
    <w:rsid w:val="00B66B66"/>
    <w:rsid w:val="00C64B7C"/>
    <w:rsid w:val="00C7059C"/>
    <w:rsid w:val="00C87CB4"/>
    <w:rsid w:val="00CD5E5D"/>
    <w:rsid w:val="00D6432B"/>
    <w:rsid w:val="00D827F5"/>
    <w:rsid w:val="00EF63AF"/>
    <w:rsid w:val="00F47751"/>
    <w:rsid w:val="00FE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055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A40055"/>
    <w:pPr>
      <w:ind w:left="3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40055"/>
    <w:rPr>
      <w:sz w:val="24"/>
      <w:szCs w:val="24"/>
    </w:rPr>
  </w:style>
  <w:style w:type="paragraph" w:styleId="a4">
    <w:name w:val="List Paragraph"/>
    <w:basedOn w:val="a"/>
    <w:uiPriority w:val="1"/>
    <w:qFormat/>
    <w:rsid w:val="00A40055"/>
  </w:style>
  <w:style w:type="paragraph" w:customStyle="1" w:styleId="TableParagraph">
    <w:name w:val="Table Paragraph"/>
    <w:basedOn w:val="a"/>
    <w:uiPriority w:val="1"/>
    <w:qFormat/>
    <w:rsid w:val="00A40055"/>
    <w:pPr>
      <w:spacing w:before="51"/>
      <w:ind w:left="466" w:right="476"/>
      <w:jc w:val="center"/>
    </w:pPr>
  </w:style>
  <w:style w:type="paragraph" w:styleId="a5">
    <w:name w:val="header"/>
    <w:basedOn w:val="a"/>
    <w:link w:val="Char"/>
    <w:uiPriority w:val="99"/>
    <w:unhideWhenUsed/>
    <w:rsid w:val="00783650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5"/>
    <w:uiPriority w:val="99"/>
    <w:rsid w:val="00783650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783650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6"/>
    <w:uiPriority w:val="99"/>
    <w:rsid w:val="00783650"/>
    <w:rPr>
      <w:rFonts w:ascii="Calibri" w:eastAsia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9654E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9654EC"/>
    <w:rPr>
      <w:rFonts w:ascii="Tahoma" w:eastAsia="Calibri" w:hAnsi="Tahoma" w:cs="Tahoma"/>
      <w:sz w:val="16"/>
      <w:szCs w:val="16"/>
    </w:rPr>
  </w:style>
  <w:style w:type="paragraph" w:styleId="a8">
    <w:name w:val="Revision"/>
    <w:hidden/>
    <w:uiPriority w:val="99"/>
    <w:semiHidden/>
    <w:rsid w:val="009654EC"/>
    <w:pPr>
      <w:widowControl/>
      <w:autoSpaceDE/>
      <w:autoSpaceDN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cfireande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witter.com/dcfiree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384</Words>
  <Characters>2507</Characters>
  <Application>Microsoft Office Word</Application>
  <DocSecurity>0</DocSecurity>
  <Lines>61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District of Columbia Fire &amp; EMS Department</vt:lpstr>
    </vt:vector>
  </TitlesOfParts>
  <Company>LLTS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Fire &amp; EMS Department</dc:title>
  <dc:creator>shoston</dc:creator>
  <cp:lastModifiedBy>hebe</cp:lastModifiedBy>
  <cp:revision>23</cp:revision>
  <dcterms:created xsi:type="dcterms:W3CDTF">2017-05-03T09:20:00Z</dcterms:created>
  <dcterms:modified xsi:type="dcterms:W3CDTF">2017-05-26T10:51:00Z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