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94" w:rsidRDefault="001A7294">
      <w:pPr>
        <w:pStyle w:val="a3"/>
        <w:spacing w:before="2"/>
        <w:rPr>
          <w:rFonts w:ascii="Times New Roman"/>
          <w:sz w:val="10"/>
        </w:rPr>
      </w:pPr>
    </w:p>
    <w:p w:rsidR="001A7294" w:rsidRPr="00CF5019" w:rsidRDefault="003E2D8E" w:rsidP="00CF5019">
      <w:pPr>
        <w:spacing w:before="44"/>
        <w:jc w:val="center"/>
        <w:rPr>
          <w:b/>
          <w:sz w:val="28"/>
          <w:lang w:val="fr-FR"/>
        </w:rPr>
      </w:pPr>
      <w:r>
        <w:rPr>
          <w:noProof/>
          <w:lang w:eastAsia="zh-CN"/>
        </w:rPr>
        <w:drawing>
          <wp:anchor distT="0" distB="0" distL="0" distR="0" simplePos="0" relativeHeight="251658240" behindDoc="0" locked="0" layoutInCell="1" allowOverlap="1">
            <wp:simplePos x="0" y="0"/>
            <wp:positionH relativeFrom="page">
              <wp:posOffset>6570344</wp:posOffset>
            </wp:positionH>
            <wp:positionV relativeFrom="paragraph">
              <wp:posOffset>-71373</wp:posOffset>
            </wp:positionV>
            <wp:extent cx="557529" cy="685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57529" cy="685800"/>
                    </a:xfrm>
                    <a:prstGeom prst="rect">
                      <a:avLst/>
                    </a:prstGeom>
                  </pic:spPr>
                </pic:pic>
              </a:graphicData>
            </a:graphic>
          </wp:anchor>
        </w:drawing>
      </w:r>
      <w:r>
        <w:rPr>
          <w:noProof/>
          <w:lang w:eastAsia="zh-CN"/>
        </w:rPr>
        <w:drawing>
          <wp:anchor distT="0" distB="0" distL="0" distR="0" simplePos="0" relativeHeight="1048" behindDoc="0" locked="0" layoutInCell="1" allowOverlap="1">
            <wp:simplePos x="0" y="0"/>
            <wp:positionH relativeFrom="page">
              <wp:posOffset>824230</wp:posOffset>
            </wp:positionH>
            <wp:positionV relativeFrom="paragraph">
              <wp:posOffset>-7873</wp:posOffset>
            </wp:positionV>
            <wp:extent cx="685165" cy="54038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85165" cy="540384"/>
                    </a:xfrm>
                    <a:prstGeom prst="rect">
                      <a:avLst/>
                    </a:prstGeom>
                  </pic:spPr>
                </pic:pic>
              </a:graphicData>
            </a:graphic>
          </wp:anchor>
        </w:drawing>
      </w:r>
      <w:r>
        <w:rPr>
          <w:b/>
          <w:bCs/>
          <w:sz w:val="28"/>
          <w:lang w:val="fr-FR"/>
        </w:rPr>
        <w:t>GOUVERNEMENT DU DISTRICT DE COLUMBIA</w:t>
      </w:r>
    </w:p>
    <w:p w:rsidR="001A7294" w:rsidRPr="00CF5019" w:rsidRDefault="003E2D8E" w:rsidP="00CF5019">
      <w:pPr>
        <w:pStyle w:val="1"/>
        <w:ind w:leftChars="650" w:left="1430" w:rightChars="650" w:right="1430"/>
        <w:jc w:val="center"/>
        <w:rPr>
          <w:lang w:val="fr-FR"/>
        </w:rPr>
      </w:pPr>
      <w:r>
        <w:rPr>
          <w:lang w:val="fr-FR"/>
        </w:rPr>
        <w:t>Département des Services d’incendie et médicaux d’urgence du</w:t>
      </w:r>
      <w:r w:rsidR="00CF5019" w:rsidRPr="00CF5019">
        <w:rPr>
          <w:lang w:val="fr-FR"/>
        </w:rPr>
        <w:t> </w:t>
      </w:r>
      <w:r>
        <w:rPr>
          <w:lang w:val="fr-FR"/>
        </w:rPr>
        <w:t>District de Columbia</w:t>
      </w:r>
    </w:p>
    <w:p w:rsidR="001A7294" w:rsidRPr="00CF5019" w:rsidRDefault="001A7294">
      <w:pPr>
        <w:pStyle w:val="a3"/>
        <w:rPr>
          <w:b/>
          <w:sz w:val="20"/>
          <w:lang w:val="fr-FR"/>
        </w:rPr>
      </w:pPr>
    </w:p>
    <w:p w:rsidR="001A7294" w:rsidRPr="00CF5019" w:rsidRDefault="001A7294">
      <w:pPr>
        <w:pStyle w:val="a3"/>
        <w:rPr>
          <w:b/>
          <w:sz w:val="20"/>
          <w:lang w:val="fr-FR"/>
        </w:rPr>
      </w:pPr>
    </w:p>
    <w:p w:rsidR="001A7294" w:rsidRPr="00CF5019" w:rsidRDefault="001A7294">
      <w:pPr>
        <w:pStyle w:val="a3"/>
        <w:rPr>
          <w:b/>
          <w:sz w:val="20"/>
          <w:lang w:val="fr-FR"/>
        </w:rPr>
      </w:pPr>
    </w:p>
    <w:p w:rsidR="001A7294" w:rsidRPr="00CF5019" w:rsidRDefault="003E2D8E">
      <w:pPr>
        <w:spacing w:before="171"/>
        <w:ind w:left="308"/>
        <w:rPr>
          <w:b/>
          <w:sz w:val="42"/>
          <w:lang w:val="fr-FR"/>
        </w:rPr>
      </w:pPr>
      <w:r>
        <w:rPr>
          <w:noProof/>
          <w:lang w:eastAsia="zh-CN"/>
        </w:rPr>
        <w:drawing>
          <wp:anchor distT="0" distB="0" distL="107950" distR="0" simplePos="0" relativeHeight="1072" behindDoc="0" locked="0" layoutInCell="1" allowOverlap="1">
            <wp:simplePos x="0" y="0"/>
            <wp:positionH relativeFrom="page">
              <wp:posOffset>3824577</wp:posOffset>
            </wp:positionH>
            <wp:positionV relativeFrom="paragraph">
              <wp:posOffset>148645</wp:posOffset>
            </wp:positionV>
            <wp:extent cx="3304800" cy="1371600"/>
            <wp:effectExtent l="0" t="0" r="0" b="0"/>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3304800" cy="1371600"/>
                    </a:xfrm>
                    <a:prstGeom prst="rect">
                      <a:avLst/>
                    </a:prstGeom>
                  </pic:spPr>
                </pic:pic>
              </a:graphicData>
            </a:graphic>
            <wp14:sizeRelH relativeFrom="margin">
              <wp14:pctWidth>0</wp14:pctWidth>
            </wp14:sizeRelH>
            <wp14:sizeRelV relativeFrom="margin">
              <wp14:pctHeight>0</wp14:pctHeight>
            </wp14:sizeRelV>
          </wp:anchor>
        </w:drawing>
      </w:r>
      <w:r>
        <w:rPr>
          <w:b/>
          <w:bCs/>
          <w:color w:val="FF0000"/>
          <w:sz w:val="42"/>
          <w:lang w:val="fr-FR"/>
        </w:rPr>
        <w:t>SÉCURITÉ INCENDIE EN APPARTEMENT</w:t>
      </w:r>
    </w:p>
    <w:p w:rsidR="001A7294" w:rsidRPr="00CF5019" w:rsidRDefault="001A7294">
      <w:pPr>
        <w:pStyle w:val="a3"/>
        <w:spacing w:before="8"/>
        <w:rPr>
          <w:b/>
          <w:sz w:val="19"/>
          <w:lang w:val="fr-FR"/>
        </w:rPr>
      </w:pPr>
    </w:p>
    <w:p w:rsidR="001A7294" w:rsidRPr="00CF5019" w:rsidRDefault="003E2D8E" w:rsidP="007F5FFF">
      <w:pPr>
        <w:pStyle w:val="a3"/>
        <w:spacing w:before="52" w:line="276" w:lineRule="auto"/>
        <w:ind w:left="207" w:right="200"/>
        <w:rPr>
          <w:lang w:val="fr-FR"/>
        </w:rPr>
      </w:pPr>
      <w:r w:rsidRPr="00935AA4">
        <w:rPr>
          <w:spacing w:val="-4"/>
          <w:lang w:val="fr-FR"/>
        </w:rPr>
        <w:t>Des incendies qui se sont déclarés en appartement</w:t>
      </w:r>
      <w:r>
        <w:rPr>
          <w:lang w:val="fr-FR"/>
        </w:rPr>
        <w:t xml:space="preserve"> ont poussé les Américains à réfléchir à la sécurité incendie. L’une des clés de la sécurité incendie pour les personnes vivant dans un immeuble est de développer et de tester des plans d’évacuation et</w:t>
      </w:r>
      <w:r w:rsidR="00D230AF" w:rsidRPr="00D230AF">
        <w:rPr>
          <w:lang w:val="es-ES"/>
        </w:rPr>
        <w:t> </w:t>
      </w:r>
      <w:r>
        <w:rPr>
          <w:lang w:val="fr-FR"/>
        </w:rPr>
        <w:t>pratiques de prévention.</w:t>
      </w:r>
      <w:r w:rsidR="00CF5019">
        <w:rPr>
          <w:lang w:val="fr-FR"/>
        </w:rPr>
        <w:t xml:space="preserve"> </w:t>
      </w:r>
      <w:r>
        <w:rPr>
          <w:lang w:val="fr-FR"/>
        </w:rPr>
        <w:t>Soyez attentifs aux risques d’incendie qui vous mettent, vous, votre famille et vos voisins, en danger. Contrôlez toutes les issues de secours pour voir si elles fonctionnent correctement et sont dégagées, et vérifiez que les extincteurs sont en bon état de</w:t>
      </w:r>
      <w:r w:rsidR="00935AA4" w:rsidRPr="00935AA4">
        <w:rPr>
          <w:lang w:val="fr-FR"/>
        </w:rPr>
        <w:t> </w:t>
      </w:r>
      <w:r>
        <w:rPr>
          <w:lang w:val="fr-FR"/>
        </w:rPr>
        <w:t>fonctionnement et</w:t>
      </w:r>
      <w:r w:rsidR="00D230AF" w:rsidRPr="007F5FFF">
        <w:rPr>
          <w:lang w:val="fr-FR"/>
        </w:rPr>
        <w:t> </w:t>
      </w:r>
      <w:r>
        <w:rPr>
          <w:lang w:val="fr-FR"/>
        </w:rPr>
        <w:t>qu’ils ont été inspectés. C’est à ce type de choses que vous devez faire attention. De</w:t>
      </w:r>
      <w:r w:rsidR="00935AA4" w:rsidRPr="00D230AF">
        <w:rPr>
          <w:lang w:val="fr-FR"/>
        </w:rPr>
        <w:t> </w:t>
      </w:r>
      <w:r>
        <w:rPr>
          <w:lang w:val="fr-FR"/>
        </w:rPr>
        <w:t>nombreux locataires d’appartements ne souscrivent pas d’assurance habitation. Cela est pourtant indispensable étant donné que la plupart des polices d’assurance de propriétaire ne couvrent pas les biens personnels perdus des locataires.</w:t>
      </w:r>
    </w:p>
    <w:p w:rsidR="001A7294" w:rsidRPr="00CF5019" w:rsidRDefault="003E2D8E" w:rsidP="007F5FFF">
      <w:pPr>
        <w:pStyle w:val="a3"/>
        <w:spacing w:before="199" w:line="278" w:lineRule="auto"/>
        <w:ind w:left="207" w:right="204"/>
        <w:rPr>
          <w:lang w:val="fr-FR"/>
        </w:rPr>
      </w:pPr>
      <w:r>
        <w:rPr>
          <w:lang w:val="fr-FR"/>
        </w:rPr>
        <w:t>Si votre appartement présente l’une quelconque de ces situations dangereuses, contactez immédiatement votre agence de location. Les résidents doivent également signaler la présence de</w:t>
      </w:r>
      <w:r w:rsidR="00935AA4" w:rsidRPr="00D230AF">
        <w:rPr>
          <w:lang w:val="fr-FR"/>
        </w:rPr>
        <w:t> </w:t>
      </w:r>
      <w:r>
        <w:rPr>
          <w:lang w:val="fr-FR"/>
        </w:rPr>
        <w:t>rongeurs et de cafards.</w:t>
      </w:r>
    </w:p>
    <w:p w:rsidR="001A7294" w:rsidRPr="00CF5019" w:rsidRDefault="003E2D8E" w:rsidP="007F5FFF">
      <w:pPr>
        <w:spacing w:before="194"/>
        <w:ind w:left="207"/>
        <w:rPr>
          <w:b/>
          <w:i/>
          <w:sz w:val="24"/>
          <w:lang w:val="fr-FR"/>
        </w:rPr>
      </w:pPr>
      <w:r>
        <w:rPr>
          <w:b/>
          <w:bCs/>
          <w:i/>
          <w:iCs/>
          <w:sz w:val="24"/>
          <w:lang w:val="fr-FR"/>
        </w:rPr>
        <w:t>La liste suivante décrit les éléments à vérifier pour garantir la sécurité de votre appartement et de ses environs :</w:t>
      </w:r>
    </w:p>
    <w:p w:rsidR="001A7294" w:rsidRPr="00CF5019" w:rsidRDefault="001A7294">
      <w:pPr>
        <w:pStyle w:val="a3"/>
        <w:spacing w:before="8"/>
        <w:rPr>
          <w:b/>
          <w:i/>
          <w:sz w:val="29"/>
          <w:lang w:val="fr-FR"/>
        </w:rPr>
      </w:pPr>
    </w:p>
    <w:tbl>
      <w:tblPr>
        <w:tblW w:w="0" w:type="auto"/>
        <w:tblInd w:w="109" w:type="dxa"/>
        <w:tblLayout w:type="fixed"/>
        <w:tblCellMar>
          <w:left w:w="0" w:type="dxa"/>
          <w:right w:w="0" w:type="dxa"/>
        </w:tblCellMar>
        <w:tblLook w:val="01E0" w:firstRow="1" w:lastRow="1" w:firstColumn="1" w:lastColumn="1" w:noHBand="0" w:noVBand="0"/>
      </w:tblPr>
      <w:tblGrid>
        <w:gridCol w:w="5429"/>
        <w:gridCol w:w="4994"/>
      </w:tblGrid>
      <w:tr w:rsidR="001A7294" w:rsidTr="00967E14">
        <w:trPr>
          <w:trHeight w:val="420"/>
          <w:tblHeader/>
        </w:trPr>
        <w:tc>
          <w:tcPr>
            <w:tcW w:w="5429" w:type="dxa"/>
            <w:tcBorders>
              <w:right w:val="single" w:sz="24" w:space="0" w:color="FFFFFF"/>
            </w:tcBorders>
            <w:shd w:val="clear" w:color="auto" w:fill="FF0000"/>
          </w:tcPr>
          <w:p w:rsidR="001A7294" w:rsidRDefault="003E2D8E">
            <w:pPr>
              <w:pStyle w:val="TableParagraph"/>
              <w:spacing w:before="74"/>
              <w:ind w:left="1986" w:right="1969"/>
              <w:rPr>
                <w:b/>
                <w:sz w:val="24"/>
              </w:rPr>
            </w:pPr>
            <w:r>
              <w:rPr>
                <w:b/>
                <w:bCs/>
                <w:color w:val="FFFFFF"/>
                <w:sz w:val="24"/>
                <w:lang w:val="fr-FR"/>
              </w:rPr>
              <w:t>À l’extérieur</w:t>
            </w:r>
          </w:p>
        </w:tc>
        <w:tc>
          <w:tcPr>
            <w:tcW w:w="4994" w:type="dxa"/>
            <w:tcBorders>
              <w:left w:val="single" w:sz="24" w:space="0" w:color="FFFFFF"/>
            </w:tcBorders>
            <w:shd w:val="clear" w:color="auto" w:fill="FF0000"/>
          </w:tcPr>
          <w:p w:rsidR="001A7294" w:rsidRDefault="003E2D8E">
            <w:pPr>
              <w:pStyle w:val="TableParagraph"/>
              <w:spacing w:before="74"/>
              <w:ind w:left="1770" w:right="1785"/>
              <w:rPr>
                <w:b/>
                <w:sz w:val="24"/>
              </w:rPr>
            </w:pPr>
            <w:r>
              <w:rPr>
                <w:b/>
                <w:bCs/>
                <w:color w:val="FFFFFF"/>
                <w:sz w:val="24"/>
                <w:lang w:val="fr-FR"/>
              </w:rPr>
              <w:t>À l’intérieur</w:t>
            </w:r>
          </w:p>
        </w:tc>
      </w:tr>
      <w:tr w:rsidR="001A7294" w:rsidRPr="00CF5019" w:rsidTr="00240F15">
        <w:trPr>
          <w:trHeight w:val="20"/>
        </w:trPr>
        <w:tc>
          <w:tcPr>
            <w:tcW w:w="5429" w:type="dxa"/>
          </w:tcPr>
          <w:p w:rsidR="001A7294" w:rsidRPr="00CF5019" w:rsidRDefault="003E2D8E" w:rsidP="00240F15">
            <w:pPr>
              <w:pStyle w:val="TableParagraph"/>
              <w:spacing w:before="0" w:afterLines="50" w:after="120"/>
              <w:ind w:left="170" w:right="170"/>
              <w:rPr>
                <w:sz w:val="24"/>
                <w:lang w:val="fr-FR"/>
              </w:rPr>
            </w:pPr>
            <w:r>
              <w:rPr>
                <w:sz w:val="24"/>
                <w:lang w:val="fr-FR"/>
              </w:rPr>
              <w:t>Portes ou vitres de porte cassées</w:t>
            </w:r>
          </w:p>
        </w:tc>
        <w:tc>
          <w:tcPr>
            <w:tcW w:w="4994" w:type="dxa"/>
          </w:tcPr>
          <w:p w:rsidR="001A7294" w:rsidRPr="00CF5019" w:rsidRDefault="003E2D8E" w:rsidP="00240F15">
            <w:pPr>
              <w:pStyle w:val="TableParagraph"/>
              <w:spacing w:before="0" w:afterLines="50" w:after="120"/>
              <w:ind w:left="170" w:right="170"/>
              <w:rPr>
                <w:sz w:val="24"/>
                <w:lang w:val="fr-FR"/>
              </w:rPr>
            </w:pPr>
            <w:r>
              <w:rPr>
                <w:sz w:val="24"/>
                <w:lang w:val="fr-FR"/>
              </w:rPr>
              <w:t>Détecteurs de fumée défectueux</w:t>
            </w:r>
          </w:p>
        </w:tc>
      </w:tr>
      <w:tr w:rsidR="001A7294" w:rsidRPr="009E0D94" w:rsidTr="00240F15">
        <w:trPr>
          <w:trHeight w:val="20"/>
        </w:trPr>
        <w:tc>
          <w:tcPr>
            <w:tcW w:w="5429" w:type="dxa"/>
          </w:tcPr>
          <w:p w:rsidR="001A7294" w:rsidRPr="00CF5019" w:rsidRDefault="003E2D8E" w:rsidP="00240F15">
            <w:pPr>
              <w:pStyle w:val="TableParagraph"/>
              <w:spacing w:before="0" w:afterLines="50" w:after="120"/>
              <w:ind w:left="170" w:right="170"/>
              <w:rPr>
                <w:sz w:val="24"/>
                <w:lang w:val="fr-FR"/>
              </w:rPr>
            </w:pPr>
            <w:r>
              <w:rPr>
                <w:sz w:val="24"/>
                <w:lang w:val="fr-FR"/>
              </w:rPr>
              <w:t>Mains courantes manquantes ou cassées</w:t>
            </w:r>
          </w:p>
        </w:tc>
        <w:tc>
          <w:tcPr>
            <w:tcW w:w="4994" w:type="dxa"/>
          </w:tcPr>
          <w:p w:rsidR="001A7294" w:rsidRPr="00CF5019" w:rsidRDefault="003E2D8E" w:rsidP="00240F15">
            <w:pPr>
              <w:pStyle w:val="TableParagraph"/>
              <w:spacing w:before="0" w:afterLines="50" w:after="120"/>
              <w:ind w:left="170" w:right="170"/>
              <w:rPr>
                <w:sz w:val="24"/>
                <w:lang w:val="fr-FR"/>
              </w:rPr>
            </w:pPr>
            <w:r>
              <w:rPr>
                <w:sz w:val="24"/>
                <w:lang w:val="fr-FR"/>
              </w:rPr>
              <w:t>Installations de chauffage/d’air conditionné défectueuses</w:t>
            </w:r>
          </w:p>
        </w:tc>
      </w:tr>
      <w:tr w:rsidR="001A7294" w:rsidRPr="00CF5019" w:rsidTr="00240F15">
        <w:trPr>
          <w:trHeight w:val="20"/>
        </w:trPr>
        <w:tc>
          <w:tcPr>
            <w:tcW w:w="5429" w:type="dxa"/>
          </w:tcPr>
          <w:p w:rsidR="001A7294" w:rsidRDefault="003E2D8E" w:rsidP="00240F15">
            <w:pPr>
              <w:pStyle w:val="TableParagraph"/>
              <w:spacing w:before="0" w:afterLines="50" w:after="120"/>
              <w:ind w:left="170" w:right="170"/>
              <w:rPr>
                <w:sz w:val="24"/>
              </w:rPr>
            </w:pPr>
            <w:r>
              <w:rPr>
                <w:sz w:val="24"/>
                <w:lang w:val="fr-FR"/>
              </w:rPr>
              <w:t>Marches fissurées</w:t>
            </w:r>
          </w:p>
        </w:tc>
        <w:tc>
          <w:tcPr>
            <w:tcW w:w="4994" w:type="dxa"/>
          </w:tcPr>
          <w:p w:rsidR="001A7294" w:rsidRPr="00CF5019" w:rsidRDefault="003E2D8E" w:rsidP="00240F15">
            <w:pPr>
              <w:pStyle w:val="TableParagraph"/>
              <w:spacing w:before="0" w:afterLines="50" w:after="120"/>
              <w:ind w:left="170" w:right="170"/>
              <w:rPr>
                <w:sz w:val="24"/>
                <w:lang w:val="fr-FR"/>
              </w:rPr>
            </w:pPr>
            <w:r>
              <w:rPr>
                <w:sz w:val="24"/>
                <w:lang w:val="fr-FR"/>
              </w:rPr>
              <w:t>Ventilateurs d’extraction défectueux</w:t>
            </w:r>
          </w:p>
        </w:tc>
      </w:tr>
      <w:tr w:rsidR="001A7294" w:rsidRPr="00967E14" w:rsidTr="00240F15">
        <w:trPr>
          <w:trHeight w:val="20"/>
        </w:trPr>
        <w:tc>
          <w:tcPr>
            <w:tcW w:w="5429" w:type="dxa"/>
          </w:tcPr>
          <w:p w:rsidR="001A7294" w:rsidRPr="00CF5019" w:rsidRDefault="003E2D8E" w:rsidP="00240F15">
            <w:pPr>
              <w:pStyle w:val="TableParagraph"/>
              <w:spacing w:before="0" w:afterLines="50" w:after="120"/>
              <w:ind w:left="170" w:right="170"/>
              <w:rPr>
                <w:sz w:val="24"/>
                <w:lang w:val="fr-FR"/>
              </w:rPr>
            </w:pPr>
            <w:r>
              <w:rPr>
                <w:sz w:val="24"/>
                <w:lang w:val="fr-FR"/>
              </w:rPr>
              <w:t>Alarme incendie et systèmes de sécurité en</w:t>
            </w:r>
            <w:r w:rsidR="00121752" w:rsidRPr="00383489">
              <w:rPr>
                <w:sz w:val="24"/>
                <w:lang w:val="fr-FR"/>
              </w:rPr>
              <w:t> </w:t>
            </w:r>
            <w:r>
              <w:rPr>
                <w:sz w:val="24"/>
                <w:lang w:val="fr-FR"/>
              </w:rPr>
              <w:t>panne</w:t>
            </w:r>
          </w:p>
        </w:tc>
        <w:tc>
          <w:tcPr>
            <w:tcW w:w="4994" w:type="dxa"/>
          </w:tcPr>
          <w:p w:rsidR="001A7294" w:rsidRPr="00CF5019" w:rsidRDefault="003E2D8E" w:rsidP="00240F15">
            <w:pPr>
              <w:pStyle w:val="TableParagraph"/>
              <w:spacing w:before="0" w:afterLines="50" w:after="120"/>
              <w:ind w:left="170" w:right="170"/>
              <w:rPr>
                <w:sz w:val="24"/>
                <w:lang w:val="fr-FR"/>
              </w:rPr>
            </w:pPr>
            <w:r>
              <w:rPr>
                <w:sz w:val="24"/>
                <w:lang w:val="fr-FR"/>
              </w:rPr>
              <w:t>Portes/fenêtres qui ferment mal</w:t>
            </w:r>
          </w:p>
        </w:tc>
      </w:tr>
      <w:tr w:rsidR="001A7294" w:rsidRPr="00967E14" w:rsidTr="00240F15">
        <w:trPr>
          <w:trHeight w:val="20"/>
        </w:trPr>
        <w:tc>
          <w:tcPr>
            <w:tcW w:w="5429" w:type="dxa"/>
          </w:tcPr>
          <w:p w:rsidR="001A7294" w:rsidRPr="00CF5019" w:rsidRDefault="003E2D8E" w:rsidP="00240F15">
            <w:pPr>
              <w:pStyle w:val="TableParagraph"/>
              <w:spacing w:before="0" w:afterLines="50" w:after="120"/>
              <w:ind w:left="170" w:right="170"/>
              <w:rPr>
                <w:sz w:val="24"/>
                <w:lang w:val="fr-FR"/>
              </w:rPr>
            </w:pPr>
            <w:r>
              <w:rPr>
                <w:sz w:val="24"/>
                <w:lang w:val="fr-FR"/>
              </w:rPr>
              <w:t>Générateurs mal protégés et mal fixés</w:t>
            </w:r>
          </w:p>
        </w:tc>
        <w:tc>
          <w:tcPr>
            <w:tcW w:w="4994" w:type="dxa"/>
          </w:tcPr>
          <w:p w:rsidR="001A7294" w:rsidRPr="00CF5019" w:rsidRDefault="003E2D8E" w:rsidP="00240F15">
            <w:pPr>
              <w:pStyle w:val="TableParagraph"/>
              <w:spacing w:before="0" w:afterLines="50" w:after="120"/>
              <w:ind w:left="170" w:right="170"/>
              <w:rPr>
                <w:sz w:val="24"/>
                <w:lang w:val="fr-FR"/>
              </w:rPr>
            </w:pPr>
            <w:r>
              <w:rPr>
                <w:sz w:val="24"/>
                <w:lang w:val="fr-FR"/>
              </w:rPr>
              <w:t>Portes et poignées de portes manquantes/cassées</w:t>
            </w:r>
          </w:p>
        </w:tc>
      </w:tr>
      <w:tr w:rsidR="001A7294" w:rsidRPr="009E0D94" w:rsidTr="00240F15">
        <w:trPr>
          <w:trHeight w:val="20"/>
        </w:trPr>
        <w:tc>
          <w:tcPr>
            <w:tcW w:w="5429" w:type="dxa"/>
          </w:tcPr>
          <w:p w:rsidR="001A7294" w:rsidRPr="00CF5019" w:rsidRDefault="003E2D8E" w:rsidP="00240F15">
            <w:pPr>
              <w:pStyle w:val="TableParagraph"/>
              <w:spacing w:before="0" w:afterLines="50" w:after="120"/>
              <w:ind w:left="170" w:right="170"/>
              <w:rPr>
                <w:sz w:val="24"/>
                <w:lang w:val="fr-FR"/>
              </w:rPr>
            </w:pPr>
            <w:r>
              <w:rPr>
                <w:sz w:val="24"/>
                <w:lang w:val="fr-FR"/>
              </w:rPr>
              <w:t>Accumulation d’ordures et de déchets dans les locaux</w:t>
            </w:r>
          </w:p>
        </w:tc>
        <w:tc>
          <w:tcPr>
            <w:tcW w:w="4994" w:type="dxa"/>
          </w:tcPr>
          <w:p w:rsidR="001A7294" w:rsidRPr="00CF5019" w:rsidRDefault="003E2D8E" w:rsidP="00240F15">
            <w:pPr>
              <w:pStyle w:val="TableParagraph"/>
              <w:spacing w:before="0" w:afterLines="50" w:after="120"/>
              <w:ind w:left="170" w:right="170"/>
              <w:rPr>
                <w:sz w:val="24"/>
                <w:lang w:val="fr-FR"/>
              </w:rPr>
            </w:pPr>
            <w:r>
              <w:rPr>
                <w:sz w:val="24"/>
                <w:lang w:val="fr-FR"/>
              </w:rPr>
              <w:t>Couvercles de prises/d’interrupteurs manquants</w:t>
            </w:r>
          </w:p>
        </w:tc>
      </w:tr>
      <w:tr w:rsidR="001A7294" w:rsidRPr="00967E14" w:rsidTr="00240F15">
        <w:trPr>
          <w:trHeight w:val="20"/>
        </w:trPr>
        <w:tc>
          <w:tcPr>
            <w:tcW w:w="5429" w:type="dxa"/>
          </w:tcPr>
          <w:p w:rsidR="001A7294" w:rsidRPr="00CF5019" w:rsidRDefault="003E2D8E" w:rsidP="00240F15">
            <w:pPr>
              <w:pStyle w:val="TableParagraph"/>
              <w:spacing w:before="0" w:afterLines="50" w:after="120"/>
              <w:ind w:left="170" w:right="170"/>
              <w:rPr>
                <w:sz w:val="24"/>
                <w:lang w:val="fr-FR"/>
              </w:rPr>
            </w:pPr>
            <w:r>
              <w:rPr>
                <w:sz w:val="24"/>
                <w:lang w:val="fr-FR"/>
              </w:rPr>
              <w:t>Câbles de tout type exposé</w:t>
            </w:r>
          </w:p>
        </w:tc>
        <w:tc>
          <w:tcPr>
            <w:tcW w:w="4994" w:type="dxa"/>
          </w:tcPr>
          <w:p w:rsidR="001A7294" w:rsidRPr="00CF5019" w:rsidRDefault="003E2D8E" w:rsidP="00240F15">
            <w:pPr>
              <w:pStyle w:val="TableParagraph"/>
              <w:spacing w:before="0" w:afterLines="50" w:after="120"/>
              <w:ind w:left="170" w:right="170"/>
              <w:rPr>
                <w:sz w:val="24"/>
                <w:lang w:val="fr-FR"/>
              </w:rPr>
            </w:pPr>
            <w:r>
              <w:rPr>
                <w:sz w:val="24"/>
                <w:lang w:val="fr-FR"/>
              </w:rPr>
              <w:t>Carreaux de sol fendus/manquants</w:t>
            </w:r>
          </w:p>
        </w:tc>
      </w:tr>
      <w:tr w:rsidR="001A7294" w:rsidRPr="009E0D94" w:rsidTr="00240F15">
        <w:trPr>
          <w:trHeight w:val="20"/>
        </w:trPr>
        <w:tc>
          <w:tcPr>
            <w:tcW w:w="5429" w:type="dxa"/>
          </w:tcPr>
          <w:p w:rsidR="001A7294" w:rsidRDefault="003E2D8E" w:rsidP="00240F15">
            <w:pPr>
              <w:pStyle w:val="TableParagraph"/>
              <w:spacing w:before="0" w:afterLines="50" w:after="120"/>
              <w:ind w:left="170" w:right="170"/>
              <w:rPr>
                <w:sz w:val="24"/>
              </w:rPr>
            </w:pPr>
            <w:r>
              <w:rPr>
                <w:sz w:val="24"/>
                <w:lang w:val="fr-FR"/>
              </w:rPr>
              <w:t>Extincteurs en panne</w:t>
            </w:r>
          </w:p>
        </w:tc>
        <w:tc>
          <w:tcPr>
            <w:tcW w:w="4994" w:type="dxa"/>
          </w:tcPr>
          <w:p w:rsidR="001A7294" w:rsidRPr="00CF5019" w:rsidRDefault="003E2D8E" w:rsidP="00240F15">
            <w:pPr>
              <w:pStyle w:val="TableParagraph"/>
              <w:spacing w:before="0" w:afterLines="50" w:after="120"/>
              <w:ind w:left="170" w:right="170"/>
              <w:rPr>
                <w:sz w:val="24"/>
                <w:lang w:val="fr-FR"/>
              </w:rPr>
            </w:pPr>
            <w:r>
              <w:rPr>
                <w:sz w:val="24"/>
                <w:lang w:val="fr-FR"/>
              </w:rPr>
              <w:t>Utilisation incorrecte d’appareils de</w:t>
            </w:r>
            <w:r w:rsidR="00935AA4">
              <w:rPr>
                <w:sz w:val="24"/>
              </w:rPr>
              <w:t> </w:t>
            </w:r>
            <w:r>
              <w:rPr>
                <w:sz w:val="24"/>
                <w:lang w:val="fr-FR"/>
              </w:rPr>
              <w:t>chauffage</w:t>
            </w:r>
          </w:p>
        </w:tc>
      </w:tr>
      <w:tr w:rsidR="001A7294" w:rsidRPr="009E0D94" w:rsidTr="00240F15">
        <w:trPr>
          <w:trHeight w:val="20"/>
        </w:trPr>
        <w:tc>
          <w:tcPr>
            <w:tcW w:w="5429" w:type="dxa"/>
          </w:tcPr>
          <w:p w:rsidR="001A7294" w:rsidRPr="00CF5019" w:rsidRDefault="003E2D8E" w:rsidP="00240F15">
            <w:pPr>
              <w:pStyle w:val="TableParagraph"/>
              <w:pageBreakBefore/>
              <w:spacing w:before="0" w:afterLines="50" w:after="120"/>
              <w:ind w:left="170" w:right="170"/>
              <w:rPr>
                <w:sz w:val="24"/>
                <w:lang w:val="fr-FR"/>
              </w:rPr>
            </w:pPr>
            <w:r>
              <w:rPr>
                <w:sz w:val="24"/>
                <w:lang w:val="fr-FR"/>
              </w:rPr>
              <w:lastRenderedPageBreak/>
              <w:t>Fusibles et disjoncteurs défectueux</w:t>
            </w:r>
          </w:p>
        </w:tc>
        <w:tc>
          <w:tcPr>
            <w:tcW w:w="4994" w:type="dxa"/>
          </w:tcPr>
          <w:p w:rsidR="001A7294" w:rsidRPr="00CF5019" w:rsidRDefault="003E2D8E" w:rsidP="00240F15">
            <w:pPr>
              <w:pStyle w:val="TableParagraph"/>
              <w:spacing w:before="0" w:afterLines="50" w:after="120"/>
              <w:ind w:left="170" w:right="170"/>
              <w:rPr>
                <w:sz w:val="24"/>
                <w:lang w:val="fr-FR"/>
              </w:rPr>
            </w:pPr>
            <w:r>
              <w:rPr>
                <w:sz w:val="24"/>
                <w:lang w:val="fr-FR"/>
              </w:rPr>
              <w:t>Utilisation incorrecte de couvertures électriques/en</w:t>
            </w:r>
            <w:bookmarkStart w:id="0" w:name="_GoBack"/>
            <w:bookmarkEnd w:id="0"/>
            <w:r>
              <w:rPr>
                <w:sz w:val="24"/>
                <w:lang w:val="fr-FR"/>
              </w:rPr>
              <w:t>veloppes chauffantes</w:t>
            </w:r>
          </w:p>
        </w:tc>
      </w:tr>
      <w:tr w:rsidR="001A7294" w:rsidRPr="00CF5019" w:rsidTr="00240F15">
        <w:trPr>
          <w:trHeight w:val="20"/>
        </w:trPr>
        <w:tc>
          <w:tcPr>
            <w:tcW w:w="5429" w:type="dxa"/>
          </w:tcPr>
          <w:p w:rsidR="001A7294" w:rsidRPr="00CF5019" w:rsidRDefault="003E2D8E" w:rsidP="00240F15">
            <w:pPr>
              <w:pStyle w:val="TableParagraph"/>
              <w:spacing w:before="0" w:afterLines="50" w:after="120"/>
              <w:ind w:left="170" w:right="170"/>
              <w:rPr>
                <w:sz w:val="24"/>
                <w:lang w:val="fr-FR"/>
              </w:rPr>
            </w:pPr>
            <w:r>
              <w:rPr>
                <w:sz w:val="24"/>
                <w:lang w:val="fr-FR"/>
              </w:rPr>
              <w:t>Monoxyde de carbone ou fuites de gaz</w:t>
            </w:r>
          </w:p>
        </w:tc>
        <w:tc>
          <w:tcPr>
            <w:tcW w:w="4994" w:type="dxa"/>
          </w:tcPr>
          <w:p w:rsidR="001A7294" w:rsidRPr="00CF5019" w:rsidRDefault="003E2D8E" w:rsidP="00240F15">
            <w:pPr>
              <w:pStyle w:val="TableParagraph"/>
              <w:spacing w:before="0" w:afterLines="50" w:after="120"/>
              <w:ind w:left="170" w:right="170"/>
              <w:rPr>
                <w:sz w:val="24"/>
                <w:lang w:val="fr-FR"/>
              </w:rPr>
            </w:pPr>
            <w:r>
              <w:rPr>
                <w:sz w:val="24"/>
                <w:lang w:val="fr-FR"/>
              </w:rPr>
              <w:t>Appareil électronique défectueux</w:t>
            </w:r>
          </w:p>
        </w:tc>
      </w:tr>
      <w:tr w:rsidR="001A7294" w:rsidRPr="009E0D94" w:rsidTr="00240F15">
        <w:trPr>
          <w:trHeight w:val="20"/>
        </w:trPr>
        <w:tc>
          <w:tcPr>
            <w:tcW w:w="5429" w:type="dxa"/>
          </w:tcPr>
          <w:p w:rsidR="001A7294" w:rsidRPr="00CF5019" w:rsidRDefault="003E2D8E" w:rsidP="00240F15">
            <w:pPr>
              <w:pStyle w:val="TableParagraph"/>
              <w:spacing w:before="0" w:afterLines="50" w:after="120" w:line="269" w:lineRule="exact"/>
              <w:ind w:left="170" w:right="170"/>
              <w:rPr>
                <w:sz w:val="24"/>
                <w:lang w:val="fr-FR"/>
              </w:rPr>
            </w:pPr>
            <w:r>
              <w:rPr>
                <w:sz w:val="24"/>
                <w:lang w:val="fr-FR"/>
              </w:rPr>
              <w:t>Indications de sortie et éclairage de secours en</w:t>
            </w:r>
            <w:r w:rsidR="00D300AB">
              <w:rPr>
                <w:sz w:val="24"/>
              </w:rPr>
              <w:t> </w:t>
            </w:r>
            <w:r>
              <w:rPr>
                <w:sz w:val="24"/>
                <w:lang w:val="fr-FR"/>
              </w:rPr>
              <w:t>panne</w:t>
            </w:r>
          </w:p>
        </w:tc>
        <w:tc>
          <w:tcPr>
            <w:tcW w:w="4994" w:type="dxa"/>
          </w:tcPr>
          <w:p w:rsidR="001A7294" w:rsidRPr="00CF5019" w:rsidRDefault="003E2D8E" w:rsidP="00240F15">
            <w:pPr>
              <w:pStyle w:val="TableParagraph"/>
              <w:spacing w:before="0" w:afterLines="50" w:after="120" w:line="269" w:lineRule="exact"/>
              <w:ind w:left="170" w:right="170"/>
              <w:rPr>
                <w:sz w:val="24"/>
                <w:lang w:val="fr-FR"/>
              </w:rPr>
            </w:pPr>
            <w:r>
              <w:rPr>
                <w:sz w:val="24"/>
                <w:lang w:val="fr-FR"/>
              </w:rPr>
              <w:t>Allumettes/briquets hors de portée des enfants</w:t>
            </w:r>
          </w:p>
        </w:tc>
      </w:tr>
    </w:tbl>
    <w:p w:rsidR="001A7294" w:rsidRPr="00CF5019" w:rsidRDefault="001A7294">
      <w:pPr>
        <w:pStyle w:val="a3"/>
        <w:rPr>
          <w:b/>
          <w:i/>
          <w:lang w:val="fr-FR"/>
        </w:rPr>
      </w:pPr>
    </w:p>
    <w:p w:rsidR="001A7294" w:rsidRPr="00CF5019" w:rsidRDefault="001A7294">
      <w:pPr>
        <w:pStyle w:val="a3"/>
        <w:spacing w:before="1"/>
        <w:rPr>
          <w:b/>
          <w:i/>
          <w:sz w:val="22"/>
          <w:lang w:val="fr-FR"/>
        </w:rPr>
      </w:pPr>
    </w:p>
    <w:p w:rsidR="001A7294" w:rsidRPr="00CF5019" w:rsidRDefault="003E2D8E">
      <w:pPr>
        <w:pStyle w:val="1"/>
        <w:spacing w:before="1" w:line="293" w:lineRule="exact"/>
        <w:ind w:right="353"/>
        <w:jc w:val="center"/>
        <w:rPr>
          <w:lang w:val="fr-FR"/>
        </w:rPr>
      </w:pPr>
      <w:r>
        <w:rPr>
          <w:color w:val="FF0000"/>
          <w:lang w:val="fr-FR"/>
        </w:rPr>
        <w:t xml:space="preserve">Suivez le Département </w:t>
      </w:r>
      <w:r w:rsidR="00F956D6" w:rsidRPr="00F956D6">
        <w:rPr>
          <w:color w:val="FF0000"/>
          <w:lang w:val="fr-FR"/>
        </w:rPr>
        <w:t xml:space="preserve">des Services d’incendie et </w:t>
      </w:r>
      <w:r w:rsidR="009E0D94" w:rsidRPr="009E0D94">
        <w:rPr>
          <w:color w:val="FF0000"/>
          <w:lang w:val="fr-FR"/>
        </w:rPr>
        <w:t xml:space="preserve">médicaux d’urgence </w:t>
      </w:r>
      <w:r>
        <w:rPr>
          <w:color w:val="FF0000"/>
          <w:lang w:val="fr-FR"/>
        </w:rPr>
        <w:t>du District de Columbia sur Facebook et Twitter !</w:t>
      </w:r>
    </w:p>
    <w:p w:rsidR="001A7294" w:rsidRPr="00CF5019" w:rsidRDefault="003E2D8E">
      <w:pPr>
        <w:spacing w:line="219" w:lineRule="exact"/>
        <w:ind w:left="354" w:right="356"/>
        <w:jc w:val="center"/>
        <w:rPr>
          <w:sz w:val="18"/>
          <w:lang w:val="fr-FR"/>
        </w:rPr>
      </w:pPr>
      <w:r>
        <w:rPr>
          <w:sz w:val="18"/>
          <w:lang w:val="fr-FR"/>
        </w:rPr>
        <w:t xml:space="preserve">Suivez le Département </w:t>
      </w:r>
      <w:r w:rsidR="005405B2" w:rsidRPr="005405B2">
        <w:rPr>
          <w:sz w:val="18"/>
          <w:lang w:val="fr-FR"/>
        </w:rPr>
        <w:t xml:space="preserve">des Services d’incendie et </w:t>
      </w:r>
      <w:r w:rsidR="009E0D94" w:rsidRPr="009E0D94">
        <w:rPr>
          <w:sz w:val="18"/>
          <w:lang w:val="fr-FR"/>
        </w:rPr>
        <w:t xml:space="preserve">médicaux d’urgence </w:t>
      </w:r>
      <w:r>
        <w:rPr>
          <w:sz w:val="18"/>
          <w:lang w:val="fr-FR"/>
        </w:rPr>
        <w:t xml:space="preserve">du District de Columbia sur Twitter à l’adresse </w:t>
      </w:r>
      <w:hyperlink r:id="rId10">
        <w:r>
          <w:rPr>
            <w:color w:val="0000FF"/>
            <w:sz w:val="18"/>
            <w:u w:val="single"/>
            <w:lang w:val="fr-FR"/>
          </w:rPr>
          <w:t>http://www.twitter.com/dcfireems</w:t>
        </w:r>
        <w:r>
          <w:rPr>
            <w:color w:val="0000FF"/>
            <w:sz w:val="18"/>
            <w:lang w:val="fr-FR"/>
          </w:rPr>
          <w:t xml:space="preserve"> </w:t>
        </w:r>
      </w:hyperlink>
      <w:r>
        <w:rPr>
          <w:sz w:val="18"/>
          <w:lang w:val="fr-FR"/>
        </w:rPr>
        <w:t>et sur</w:t>
      </w:r>
      <w:r w:rsidR="00121752" w:rsidRPr="00121752">
        <w:rPr>
          <w:sz w:val="18"/>
          <w:lang w:val="fr-FR"/>
        </w:rPr>
        <w:t> </w:t>
      </w:r>
      <w:r>
        <w:rPr>
          <w:sz w:val="18"/>
          <w:lang w:val="fr-FR"/>
        </w:rPr>
        <w:t>Facebook</w:t>
      </w:r>
      <w:r w:rsidR="00121752" w:rsidRPr="00121752">
        <w:rPr>
          <w:sz w:val="18"/>
          <w:lang w:val="fr-FR"/>
        </w:rPr>
        <w:t> </w:t>
      </w:r>
      <w:r>
        <w:rPr>
          <w:sz w:val="18"/>
          <w:lang w:val="fr-FR"/>
        </w:rPr>
        <w:t xml:space="preserve">à l’adresse </w:t>
      </w:r>
      <w:hyperlink r:id="rId11">
        <w:r>
          <w:rPr>
            <w:color w:val="0000FF"/>
            <w:sz w:val="18"/>
            <w:u w:val="single"/>
            <w:lang w:val="fr-FR"/>
          </w:rPr>
          <w:t>http://www.facebook.com/dcfireandems</w:t>
        </w:r>
      </w:hyperlink>
      <w:r w:rsidRPr="00080F36">
        <w:rPr>
          <w:sz w:val="18"/>
          <w:szCs w:val="18"/>
          <w:lang w:val="fr-FR"/>
        </w:rPr>
        <w:t>.</w:t>
      </w:r>
    </w:p>
    <w:sectPr w:rsidR="001A7294" w:rsidRPr="00CF5019">
      <w:type w:val="continuous"/>
      <w:pgSz w:w="12240" w:h="15840"/>
      <w:pgMar w:top="880" w:right="800" w:bottom="280" w:left="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3F" w:rsidRDefault="00374C3F" w:rsidP="00CF5019">
      <w:r>
        <w:separator/>
      </w:r>
    </w:p>
  </w:endnote>
  <w:endnote w:type="continuationSeparator" w:id="0">
    <w:p w:rsidR="00374C3F" w:rsidRDefault="00374C3F" w:rsidP="00CF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3F" w:rsidRDefault="00374C3F" w:rsidP="00CF5019">
      <w:r>
        <w:separator/>
      </w:r>
    </w:p>
  </w:footnote>
  <w:footnote w:type="continuationSeparator" w:id="0">
    <w:p w:rsidR="00374C3F" w:rsidRDefault="00374C3F" w:rsidP="00CF5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1A7294"/>
    <w:rsid w:val="00080F36"/>
    <w:rsid w:val="0008433B"/>
    <w:rsid w:val="00112E7B"/>
    <w:rsid w:val="00121752"/>
    <w:rsid w:val="001A7294"/>
    <w:rsid w:val="001B2100"/>
    <w:rsid w:val="002353D2"/>
    <w:rsid w:val="00240F15"/>
    <w:rsid w:val="002F3BAF"/>
    <w:rsid w:val="00320909"/>
    <w:rsid w:val="00374C3F"/>
    <w:rsid w:val="00383489"/>
    <w:rsid w:val="003E2D8E"/>
    <w:rsid w:val="004859AE"/>
    <w:rsid w:val="00507D04"/>
    <w:rsid w:val="005405B2"/>
    <w:rsid w:val="00613CAC"/>
    <w:rsid w:val="007C6022"/>
    <w:rsid w:val="007F5FFF"/>
    <w:rsid w:val="008F4317"/>
    <w:rsid w:val="00935AA4"/>
    <w:rsid w:val="00967E14"/>
    <w:rsid w:val="009E0D94"/>
    <w:rsid w:val="00AB3BD4"/>
    <w:rsid w:val="00B463A6"/>
    <w:rsid w:val="00BA7B0C"/>
    <w:rsid w:val="00CF5019"/>
    <w:rsid w:val="00D230AF"/>
    <w:rsid w:val="00D300AB"/>
    <w:rsid w:val="00F07B9F"/>
    <w:rsid w:val="00F956D6"/>
    <w:rsid w:val="00FF4C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rPr>
  </w:style>
  <w:style w:type="paragraph" w:styleId="1">
    <w:name w:val="heading 1"/>
    <w:basedOn w:val="a"/>
    <w:uiPriority w:val="1"/>
    <w:qFormat/>
    <w:pPr>
      <w:ind w:left="35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51"/>
      <w:ind w:left="466" w:right="476"/>
      <w:jc w:val="center"/>
    </w:pPr>
  </w:style>
  <w:style w:type="paragraph" w:styleId="a5">
    <w:name w:val="header"/>
    <w:basedOn w:val="a"/>
    <w:link w:val="Char"/>
    <w:uiPriority w:val="99"/>
    <w:unhideWhenUsed/>
    <w:rsid w:val="00CF5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F5019"/>
    <w:rPr>
      <w:rFonts w:ascii="Calibri" w:eastAsia="Calibri" w:hAnsi="Calibri" w:cs="Calibri"/>
      <w:sz w:val="18"/>
      <w:szCs w:val="18"/>
    </w:rPr>
  </w:style>
  <w:style w:type="paragraph" w:styleId="a6">
    <w:name w:val="footer"/>
    <w:basedOn w:val="a"/>
    <w:link w:val="Char0"/>
    <w:uiPriority w:val="99"/>
    <w:unhideWhenUsed/>
    <w:rsid w:val="00CF5019"/>
    <w:pPr>
      <w:tabs>
        <w:tab w:val="center" w:pos="4153"/>
        <w:tab w:val="right" w:pos="8306"/>
      </w:tabs>
      <w:snapToGrid w:val="0"/>
    </w:pPr>
    <w:rPr>
      <w:sz w:val="18"/>
      <w:szCs w:val="18"/>
    </w:rPr>
  </w:style>
  <w:style w:type="character" w:customStyle="1" w:styleId="Char0">
    <w:name w:val="页脚 Char"/>
    <w:basedOn w:val="a0"/>
    <w:link w:val="a6"/>
    <w:uiPriority w:val="99"/>
    <w:rsid w:val="00CF5019"/>
    <w:rPr>
      <w:rFonts w:ascii="Calibri" w:eastAsia="Calibri" w:hAnsi="Calibri" w:cs="Calibri"/>
      <w:sz w:val="18"/>
      <w:szCs w:val="18"/>
    </w:rPr>
  </w:style>
  <w:style w:type="paragraph" w:styleId="a7">
    <w:name w:val="Balloon Text"/>
    <w:basedOn w:val="a"/>
    <w:link w:val="Char1"/>
    <w:uiPriority w:val="99"/>
    <w:semiHidden/>
    <w:unhideWhenUsed/>
    <w:rsid w:val="00AB3BD4"/>
    <w:rPr>
      <w:rFonts w:ascii="Tahoma" w:hAnsi="Tahoma" w:cs="Tahoma"/>
      <w:sz w:val="16"/>
      <w:szCs w:val="16"/>
    </w:rPr>
  </w:style>
  <w:style w:type="character" w:customStyle="1" w:styleId="Char1">
    <w:name w:val="批注框文本 Char"/>
    <w:basedOn w:val="a0"/>
    <w:link w:val="a7"/>
    <w:uiPriority w:val="99"/>
    <w:semiHidden/>
    <w:rsid w:val="00AB3BD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cebook.com/dcfireandems" TargetMode="External"/><Relationship Id="rId5" Type="http://schemas.openxmlformats.org/officeDocument/2006/relationships/footnotes" Target="footnotes.xml"/><Relationship Id="rId10" Type="http://schemas.openxmlformats.org/officeDocument/2006/relationships/hyperlink" Target="http://www.twitter.com/dcfireem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416</Words>
  <Characters>2322</Characters>
  <Application>Microsoft Office Word</Application>
  <DocSecurity>0</DocSecurity>
  <Lines>61</Lines>
  <Paragraphs>36</Paragraphs>
  <ScaleCrop>false</ScaleCrop>
  <Company>LLTS</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Columbia Fire &amp; EMS Department</dc:title>
  <dc:creator>shoston</dc:creator>
  <cp:lastModifiedBy>hebe</cp:lastModifiedBy>
  <cp:revision>22</cp:revision>
  <dcterms:created xsi:type="dcterms:W3CDTF">2017-05-03T09:20:00Z</dcterms:created>
  <dcterms:modified xsi:type="dcterms:W3CDTF">2017-05-26T10:52:00Z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2016-02-11T00:00:00Z</vt:filetime>
  </property>
  <property fmtid="{D5CDD505-2E9C-101B-9397-08002B2CF9AE}" pid="3" name="Creator">
    <vt:lpwstr>Microsoft® Word 2010</vt:lpwstr>
  </property>
  <property fmtid="{D5CDD505-2E9C-101B-9397-08002B2CF9AE}" pid="4" name="LastSaved">
    <vt:filetime>2017-05-03T00:00:00Z</vt:filetime>
  </property>
</Properties>
</file>